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202" w:type="dxa"/>
        <w:tblInd w:w="-152" w:type="dxa"/>
        <w:tblCellMar>
          <w:left w:w="10" w:type="dxa"/>
          <w:right w:w="10" w:type="dxa"/>
        </w:tblCellMar>
        <w:tblLook w:val="0000" w:firstRow="0" w:lastRow="0" w:firstColumn="0" w:lastColumn="0" w:noHBand="0" w:noVBand="0"/>
      </w:tblPr>
      <w:tblGrid>
        <w:gridCol w:w="2390"/>
        <w:gridCol w:w="6812"/>
      </w:tblGrid>
      <w:tr w:rsidR="00F7558B" w:rsidTr="004C070A">
        <w:trPr>
          <w:trHeight w:val="1971"/>
        </w:trPr>
        <w:tc>
          <w:tcPr>
            <w:tcW w:w="2390" w:type="dxa"/>
            <w:shd w:val="clear" w:color="auto" w:fill="auto"/>
            <w:tcMar>
              <w:top w:w="0" w:type="dxa"/>
              <w:left w:w="28" w:type="dxa"/>
              <w:bottom w:w="0" w:type="dxa"/>
              <w:right w:w="28" w:type="dxa"/>
            </w:tcMar>
            <w:vAlign w:val="center"/>
          </w:tcPr>
          <w:p w:rsidR="00F7558B" w:rsidRDefault="00F7558B" w:rsidP="004C070A">
            <w:pPr>
              <w:spacing w:line="360" w:lineRule="auto"/>
              <w:jc w:val="center"/>
            </w:pPr>
            <w:bookmarkStart w:id="0" w:name="_GoBack"/>
            <w:bookmarkEnd w:id="0"/>
            <w:r>
              <w:rPr>
                <w:noProof/>
              </w:rPr>
              <w:drawing>
                <wp:anchor distT="0" distB="0" distL="114300" distR="114300" simplePos="0" relativeHeight="251660288" behindDoc="0" locked="0" layoutInCell="1" allowOverlap="1" wp14:anchorId="76933F1B" wp14:editId="09E8E86C">
                  <wp:simplePos x="0" y="0"/>
                  <wp:positionH relativeFrom="column">
                    <wp:posOffset>0</wp:posOffset>
                  </wp:positionH>
                  <wp:positionV relativeFrom="paragraph">
                    <wp:posOffset>-1992633</wp:posOffset>
                  </wp:positionV>
                  <wp:extent cx="1362071" cy="1362071"/>
                  <wp:effectExtent l="0" t="0" r="0" b="0"/>
                  <wp:wrapThrough wrapText="bothSides">
                    <wp:wrapPolygon edited="0">
                      <wp:start x="0" y="0"/>
                      <wp:lineTo x="0" y="21157"/>
                      <wp:lineTo x="21157" y="21157"/>
                      <wp:lineTo x="21157" y="0"/>
                      <wp:lineTo x="0" y="0"/>
                    </wp:wrapPolygon>
                  </wp:wrapThrough>
                  <wp:docPr id="1" name="圖片 3" descr="A5-02-20"/>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srcRect/>
                          <a:stretch>
                            <a:fillRect/>
                          </a:stretch>
                        </pic:blipFill>
                        <pic:spPr>
                          <a:xfrm>
                            <a:off x="0" y="0"/>
                            <a:ext cx="1362071" cy="1362071"/>
                          </a:xfrm>
                          <a:prstGeom prst="rect">
                            <a:avLst/>
                          </a:prstGeom>
                          <a:noFill/>
                          <a:ln>
                            <a:noFill/>
                            <a:prstDash/>
                          </a:ln>
                        </pic:spPr>
                      </pic:pic>
                    </a:graphicData>
                  </a:graphic>
                </wp:anchor>
              </w:drawing>
            </w:r>
          </w:p>
        </w:tc>
        <w:tc>
          <w:tcPr>
            <w:tcW w:w="6812" w:type="dxa"/>
            <w:shd w:val="clear" w:color="auto" w:fill="auto"/>
            <w:tcMar>
              <w:top w:w="0" w:type="dxa"/>
              <w:left w:w="28" w:type="dxa"/>
              <w:bottom w:w="0" w:type="dxa"/>
              <w:right w:w="28" w:type="dxa"/>
            </w:tcMar>
          </w:tcPr>
          <w:p w:rsidR="00F7558B" w:rsidRDefault="00F7558B" w:rsidP="004C070A">
            <w:pPr>
              <w:spacing w:line="360" w:lineRule="auto"/>
              <w:jc w:val="both"/>
              <w:rPr>
                <w:rFonts w:ascii="標楷體" w:eastAsia="標楷體" w:hAnsi="標楷體"/>
                <w:b/>
                <w:sz w:val="56"/>
                <w:szCs w:val="56"/>
              </w:rPr>
            </w:pPr>
            <w:r>
              <w:rPr>
                <w:rFonts w:ascii="標楷體" w:eastAsia="標楷體" w:hAnsi="標楷體"/>
                <w:b/>
                <w:sz w:val="56"/>
                <w:szCs w:val="56"/>
              </w:rPr>
              <w:t>福建金門地方法院新聞稿</w:t>
            </w:r>
          </w:p>
          <w:p w:rsidR="00F7558B" w:rsidRDefault="00F7558B" w:rsidP="004C070A">
            <w:pPr>
              <w:spacing w:line="0" w:lineRule="atLeast"/>
              <w:ind w:firstLine="566"/>
              <w:jc w:val="both"/>
              <w:rPr>
                <w:rFonts w:ascii="標楷體" w:eastAsia="標楷體" w:hAnsi="標楷體"/>
                <w:sz w:val="28"/>
                <w:szCs w:val="28"/>
              </w:rPr>
            </w:pPr>
            <w:r>
              <w:rPr>
                <w:rFonts w:ascii="標楷體" w:eastAsia="標楷體" w:hAnsi="標楷體"/>
                <w:sz w:val="28"/>
                <w:szCs w:val="28"/>
              </w:rPr>
              <w:t>發稿日期：</w:t>
            </w:r>
            <w:r w:rsidR="00E67145">
              <w:rPr>
                <w:rFonts w:ascii="標楷體" w:eastAsia="標楷體" w:hAnsi="標楷體"/>
                <w:sz w:val="28"/>
                <w:szCs w:val="28"/>
              </w:rPr>
              <w:t>114</w:t>
            </w:r>
            <w:r>
              <w:rPr>
                <w:rFonts w:ascii="標楷體" w:eastAsia="標楷體" w:hAnsi="標楷體"/>
                <w:sz w:val="28"/>
                <w:szCs w:val="28"/>
              </w:rPr>
              <w:t>年</w:t>
            </w:r>
            <w:r w:rsidR="00AF4492">
              <w:rPr>
                <w:rFonts w:ascii="標楷體" w:eastAsia="標楷體" w:hAnsi="標楷體" w:hint="eastAsia"/>
                <w:sz w:val="28"/>
                <w:szCs w:val="28"/>
              </w:rPr>
              <w:t>8</w:t>
            </w:r>
            <w:r>
              <w:rPr>
                <w:rFonts w:ascii="標楷體" w:eastAsia="標楷體" w:hAnsi="標楷體"/>
                <w:sz w:val="28"/>
                <w:szCs w:val="28"/>
              </w:rPr>
              <w:t>月</w:t>
            </w:r>
            <w:r w:rsidR="000451F6">
              <w:rPr>
                <w:rFonts w:ascii="標楷體" w:eastAsia="標楷體" w:hAnsi="標楷體"/>
                <w:sz w:val="28"/>
                <w:szCs w:val="28"/>
              </w:rPr>
              <w:t>19</w:t>
            </w:r>
            <w:r>
              <w:rPr>
                <w:rFonts w:ascii="標楷體" w:eastAsia="標楷體" w:hAnsi="標楷體"/>
                <w:sz w:val="28"/>
                <w:szCs w:val="28"/>
              </w:rPr>
              <w:t>日</w:t>
            </w:r>
          </w:p>
          <w:p w:rsidR="00F7558B" w:rsidRDefault="00F7558B" w:rsidP="004C070A">
            <w:pPr>
              <w:spacing w:line="0" w:lineRule="atLeast"/>
              <w:ind w:firstLine="566"/>
              <w:jc w:val="both"/>
              <w:rPr>
                <w:rFonts w:ascii="標楷體" w:eastAsia="標楷體" w:hAnsi="標楷體"/>
                <w:sz w:val="28"/>
                <w:szCs w:val="28"/>
              </w:rPr>
            </w:pPr>
            <w:r>
              <w:rPr>
                <w:rFonts w:ascii="標楷體" w:eastAsia="標楷體" w:hAnsi="標楷體"/>
                <w:sz w:val="28"/>
                <w:szCs w:val="28"/>
              </w:rPr>
              <w:t>發稿單位：</w:t>
            </w:r>
            <w:r w:rsidR="00E754CE">
              <w:rPr>
                <w:rFonts w:ascii="標楷體" w:eastAsia="標楷體" w:hAnsi="標楷體" w:hint="eastAsia"/>
                <w:sz w:val="28"/>
                <w:szCs w:val="28"/>
              </w:rPr>
              <w:t>庭長室</w:t>
            </w:r>
          </w:p>
          <w:p w:rsidR="00F7558B" w:rsidRDefault="00F7558B" w:rsidP="004C070A">
            <w:pPr>
              <w:spacing w:line="0" w:lineRule="atLeast"/>
              <w:jc w:val="both"/>
              <w:rPr>
                <w:rFonts w:ascii="標楷體" w:eastAsia="標楷體" w:hAnsi="標楷體"/>
                <w:sz w:val="28"/>
                <w:szCs w:val="28"/>
              </w:rPr>
            </w:pPr>
            <w:r>
              <w:rPr>
                <w:rFonts w:ascii="標楷體" w:eastAsia="標楷體" w:hAnsi="標楷體"/>
                <w:sz w:val="28"/>
                <w:szCs w:val="28"/>
              </w:rPr>
              <w:t xml:space="preserve">    連 絡 人：</w:t>
            </w:r>
            <w:r w:rsidR="00E754CE">
              <w:rPr>
                <w:rFonts w:ascii="標楷體" w:eastAsia="標楷體" w:hAnsi="標楷體" w:hint="eastAsia"/>
                <w:sz w:val="28"/>
                <w:szCs w:val="28"/>
              </w:rPr>
              <w:t>發言人</w:t>
            </w:r>
            <w:r w:rsidR="001B0EB7">
              <w:rPr>
                <w:rFonts w:ascii="標楷體" w:eastAsia="標楷體" w:hAnsi="標楷體" w:hint="eastAsia"/>
                <w:sz w:val="28"/>
                <w:szCs w:val="28"/>
              </w:rPr>
              <w:t xml:space="preserve"> 庭長</w:t>
            </w:r>
            <w:r w:rsidR="00E754CE">
              <w:rPr>
                <w:rFonts w:ascii="標楷體" w:eastAsia="標楷體" w:hAnsi="標楷體" w:hint="eastAsia"/>
                <w:sz w:val="28"/>
                <w:szCs w:val="28"/>
              </w:rPr>
              <w:t>黃建都</w:t>
            </w:r>
          </w:p>
          <w:p w:rsidR="00F7558B" w:rsidRDefault="00F7558B" w:rsidP="00317CD4">
            <w:pPr>
              <w:spacing w:line="0" w:lineRule="atLeast"/>
            </w:pPr>
            <w:r>
              <w:rPr>
                <w:noProof/>
              </w:rPr>
              <mc:AlternateContent>
                <mc:Choice Requires="wps">
                  <w:drawing>
                    <wp:anchor distT="0" distB="0" distL="114300" distR="114300" simplePos="0" relativeHeight="251659264" behindDoc="0" locked="0" layoutInCell="1" allowOverlap="1" wp14:anchorId="47292338" wp14:editId="1038E6BA">
                      <wp:simplePos x="0" y="0"/>
                      <wp:positionH relativeFrom="margin">
                        <wp:posOffset>-1419862</wp:posOffset>
                      </wp:positionH>
                      <wp:positionV relativeFrom="paragraph">
                        <wp:posOffset>239399</wp:posOffset>
                      </wp:positionV>
                      <wp:extent cx="5371469" cy="35561"/>
                      <wp:effectExtent l="19050" t="19050" r="19681" b="21589"/>
                      <wp:wrapNone/>
                      <wp:docPr id="2" name="直線接點 2"/>
                      <wp:cNvGraphicFramePr/>
                      <a:graphic xmlns:a="http://schemas.openxmlformats.org/drawingml/2006/main">
                        <a:graphicData uri="http://schemas.microsoft.com/office/word/2010/wordprocessingShape">
                          <wps:wsp>
                            <wps:cNvCnPr/>
                            <wps:spPr>
                              <a:xfrm flipV="1">
                                <a:off x="0" y="0"/>
                                <a:ext cx="5371469" cy="35561"/>
                              </a:xfrm>
                              <a:prstGeom prst="straightConnector1">
                                <a:avLst/>
                              </a:prstGeom>
                              <a:noFill/>
                              <a:ln w="28575" cap="flat">
                                <a:solidFill>
                                  <a:srgbClr val="000000"/>
                                </a:solidFill>
                                <a:prstDash val="solid"/>
                                <a:round/>
                              </a:ln>
                            </wps:spPr>
                            <wps:bodyPr/>
                          </wps:wsp>
                        </a:graphicData>
                      </a:graphic>
                    </wp:anchor>
                  </w:drawing>
                </mc:Choice>
                <mc:Fallback>
                  <w:pict>
                    <v:shapetype w14:anchorId="62930188" id="_x0000_t32" coordsize="21600,21600" o:spt="32" o:oned="t" path="m,l21600,21600e" filled="f">
                      <v:path arrowok="t" fillok="f" o:connecttype="none"/>
                      <o:lock v:ext="edit" shapetype="t"/>
                    </v:shapetype>
                    <v:shape id="直線接點 2" o:spid="_x0000_s1026" type="#_x0000_t32" style="position:absolute;margin-left:-111.8pt;margin-top:18.85pt;width:422.95pt;height:2.8pt;flip:y;z-index:251659264;visibility:visible;mso-wrap-style:square;mso-wrap-distance-left:9pt;mso-wrap-distance-top:0;mso-wrap-distance-right:9pt;mso-wrap-distance-bottom:0;mso-position-horizontal:absolute;mso-position-horizontal-relative:margin;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" strokeweight="2.25pt">
                      <w10:wrap anchorx="margin"/>
                    </v:shape>
                  </w:pict>
                </mc:Fallback>
              </mc:AlternateContent>
            </w:r>
            <w:r>
              <w:rPr>
                <w:rFonts w:ascii="標楷體" w:eastAsia="標楷體" w:hAnsi="標楷體"/>
                <w:sz w:val="28"/>
                <w:szCs w:val="28"/>
              </w:rPr>
              <w:t xml:space="preserve">    連絡電話：(082)327361</w:t>
            </w:r>
          </w:p>
        </w:tc>
      </w:tr>
    </w:tbl>
    <w:p w:rsidR="00127ABC" w:rsidRDefault="000D3BD6" w:rsidP="00127ABC">
      <w:pPr>
        <w:pStyle w:val="2"/>
        <w:shd w:val="clear" w:color="auto" w:fill="FFFFFF"/>
        <w:spacing w:line="300" w:lineRule="atLeast"/>
        <w:jc w:val="center"/>
        <w:rPr>
          <w:rFonts w:ascii="標楷體" w:eastAsia="標楷體" w:hAnsi="標楷體"/>
          <w:sz w:val="32"/>
          <w:szCs w:val="32"/>
          <w:lang w:eastAsia="zh-HK"/>
        </w:rPr>
      </w:pPr>
      <w:r>
        <w:rPr>
          <w:rFonts w:ascii="標楷體" w:eastAsia="標楷體" w:hAnsi="標楷體" w:hint="eastAsia"/>
          <w:sz w:val="32"/>
          <w:szCs w:val="32"/>
        </w:rPr>
        <w:t>福建金門</w:t>
      </w:r>
      <w:r>
        <w:rPr>
          <w:rFonts w:ascii="標楷體" w:eastAsia="標楷體" w:hAnsi="標楷體" w:hint="eastAsia"/>
          <w:sz w:val="32"/>
          <w:szCs w:val="32"/>
          <w:lang w:eastAsia="zh-HK"/>
        </w:rPr>
        <w:t>地方法院</w:t>
      </w:r>
      <w:r w:rsidR="000451F6">
        <w:rPr>
          <w:rFonts w:ascii="標楷體" w:eastAsia="標楷體" w:hAnsi="標楷體" w:hint="eastAsia"/>
          <w:sz w:val="32"/>
          <w:szCs w:val="32"/>
        </w:rPr>
        <w:t>11</w:t>
      </w:r>
      <w:r w:rsidR="000451F6">
        <w:rPr>
          <w:rFonts w:ascii="標楷體" w:eastAsia="標楷體" w:hAnsi="標楷體"/>
          <w:sz w:val="32"/>
          <w:szCs w:val="32"/>
        </w:rPr>
        <w:t>4</w:t>
      </w:r>
      <w:r w:rsidR="00EB53BD">
        <w:rPr>
          <w:rFonts w:ascii="標楷體" w:eastAsia="標楷體" w:hAnsi="標楷體" w:hint="eastAsia"/>
          <w:sz w:val="32"/>
          <w:szCs w:val="32"/>
        </w:rPr>
        <w:t>年度</w:t>
      </w:r>
      <w:r w:rsidR="00317CD4">
        <w:rPr>
          <w:rFonts w:ascii="標楷體" w:eastAsia="標楷體" w:hAnsi="標楷體" w:hint="eastAsia"/>
          <w:sz w:val="32"/>
          <w:szCs w:val="32"/>
        </w:rPr>
        <w:t>金訴</w:t>
      </w:r>
      <w:r w:rsidR="00EB53BD">
        <w:rPr>
          <w:rFonts w:ascii="標楷體" w:eastAsia="標楷體" w:hAnsi="標楷體" w:hint="eastAsia"/>
          <w:sz w:val="32"/>
          <w:szCs w:val="32"/>
        </w:rPr>
        <w:t>字第</w:t>
      </w:r>
      <w:r w:rsidR="000451F6">
        <w:rPr>
          <w:rFonts w:ascii="標楷體" w:eastAsia="標楷體" w:hAnsi="標楷體" w:hint="eastAsia"/>
          <w:sz w:val="32"/>
          <w:szCs w:val="32"/>
        </w:rPr>
        <w:t>1</w:t>
      </w:r>
      <w:r w:rsidR="00317CD4">
        <w:rPr>
          <w:rFonts w:ascii="標楷體" w:eastAsia="標楷體" w:hAnsi="標楷體" w:hint="eastAsia"/>
          <w:sz w:val="32"/>
          <w:szCs w:val="32"/>
        </w:rPr>
        <w:t>6</w:t>
      </w:r>
      <w:r w:rsidR="00EB53BD">
        <w:rPr>
          <w:rFonts w:ascii="標楷體" w:eastAsia="標楷體" w:hAnsi="標楷體" w:hint="eastAsia"/>
          <w:sz w:val="32"/>
          <w:szCs w:val="32"/>
        </w:rPr>
        <w:t>號案件</w:t>
      </w:r>
      <w:r w:rsidR="00127ABC" w:rsidRPr="00127ABC">
        <w:rPr>
          <w:rFonts w:ascii="標楷體" w:eastAsia="標楷體" w:hAnsi="標楷體" w:hint="eastAsia"/>
          <w:sz w:val="32"/>
          <w:szCs w:val="32"/>
          <w:lang w:eastAsia="zh-HK"/>
        </w:rPr>
        <w:t>新聞稿</w:t>
      </w:r>
    </w:p>
    <w:p w:rsidR="001403F1" w:rsidRDefault="00EB53BD" w:rsidP="001403F1">
      <w:pPr>
        <w:suppressAutoHyphens w:val="0"/>
        <w:autoSpaceDN/>
        <w:ind w:leftChars="-11" w:left="-26" w:firstLineChars="210" w:firstLine="588"/>
        <w:jc w:val="both"/>
        <w:textAlignment w:val="auto"/>
        <w:rPr>
          <w:rFonts w:ascii="標楷體" w:eastAsia="標楷體" w:hAnsi="標楷體" w:cstheme="minorBidi"/>
          <w:kern w:val="2"/>
          <w:sz w:val="28"/>
          <w:szCs w:val="28"/>
        </w:rPr>
      </w:pPr>
      <w:r w:rsidRPr="00123BA4">
        <w:rPr>
          <w:rFonts w:ascii="標楷體" w:eastAsia="標楷體" w:hAnsi="標楷體" w:cstheme="minorBidi" w:hint="eastAsia"/>
          <w:kern w:val="2"/>
          <w:sz w:val="28"/>
          <w:szCs w:val="28"/>
        </w:rPr>
        <w:t>本</w:t>
      </w:r>
      <w:r w:rsidRPr="002330A2">
        <w:rPr>
          <w:rFonts w:ascii="標楷體" w:eastAsia="標楷體" w:hAnsi="標楷體" w:cstheme="minorBidi"/>
          <w:kern w:val="2"/>
          <w:sz w:val="28"/>
          <w:szCs w:val="28"/>
        </w:rPr>
        <w:t>院11</w:t>
      </w:r>
      <w:r w:rsidR="000451F6">
        <w:rPr>
          <w:rFonts w:ascii="標楷體" w:eastAsia="標楷體" w:hAnsi="標楷體" w:cstheme="minorBidi"/>
          <w:kern w:val="2"/>
          <w:sz w:val="28"/>
          <w:szCs w:val="28"/>
        </w:rPr>
        <w:t>4</w:t>
      </w:r>
      <w:r w:rsidRPr="002330A2">
        <w:rPr>
          <w:rFonts w:ascii="標楷體" w:eastAsia="標楷體" w:hAnsi="標楷體" w:cstheme="minorBidi"/>
          <w:kern w:val="2"/>
          <w:sz w:val="28"/>
          <w:szCs w:val="28"/>
        </w:rPr>
        <w:t>年度</w:t>
      </w:r>
      <w:r w:rsidR="00317CD4">
        <w:rPr>
          <w:rFonts w:ascii="標楷體" w:eastAsia="標楷體" w:hAnsi="標楷體" w:cstheme="minorBidi" w:hint="eastAsia"/>
          <w:kern w:val="2"/>
          <w:sz w:val="28"/>
          <w:szCs w:val="28"/>
        </w:rPr>
        <w:t>金</w:t>
      </w:r>
      <w:r w:rsidRPr="002330A2">
        <w:rPr>
          <w:rFonts w:ascii="標楷體" w:eastAsia="標楷體" w:hAnsi="標楷體" w:cstheme="minorBidi"/>
          <w:kern w:val="2"/>
          <w:sz w:val="28"/>
          <w:szCs w:val="28"/>
        </w:rPr>
        <w:t>訴字第</w:t>
      </w:r>
      <w:r w:rsidR="000451F6">
        <w:rPr>
          <w:rFonts w:ascii="標楷體" w:eastAsia="標楷體" w:hAnsi="標楷體" w:cstheme="minorBidi" w:hint="eastAsia"/>
          <w:kern w:val="2"/>
          <w:sz w:val="28"/>
          <w:szCs w:val="28"/>
        </w:rPr>
        <w:t>1</w:t>
      </w:r>
      <w:r w:rsidR="00317CD4">
        <w:rPr>
          <w:rFonts w:ascii="標楷體" w:eastAsia="標楷體" w:hAnsi="標楷體" w:cstheme="minorBidi"/>
          <w:kern w:val="2"/>
          <w:sz w:val="28"/>
          <w:szCs w:val="28"/>
        </w:rPr>
        <w:t>6</w:t>
      </w:r>
      <w:r w:rsidRPr="002330A2">
        <w:rPr>
          <w:rFonts w:ascii="標楷體" w:eastAsia="標楷體" w:hAnsi="標楷體" w:cstheme="minorBidi"/>
          <w:kern w:val="2"/>
          <w:sz w:val="28"/>
          <w:szCs w:val="28"/>
        </w:rPr>
        <w:t>號被告</w:t>
      </w:r>
      <w:r w:rsidR="000451F6">
        <w:rPr>
          <w:rFonts w:ascii="標楷體" w:eastAsia="標楷體" w:hAnsi="標楷體" w:cstheme="minorBidi" w:hint="eastAsia"/>
          <w:kern w:val="2"/>
          <w:sz w:val="28"/>
          <w:szCs w:val="28"/>
        </w:rPr>
        <w:t>許</w:t>
      </w:r>
      <w:r w:rsidR="000451F6">
        <w:rPr>
          <w:rFonts w:ascii="標楷體" w:eastAsia="標楷體" w:hAnsi="標楷體" w:cstheme="minorBidi"/>
          <w:kern w:val="2"/>
          <w:sz w:val="28"/>
          <w:szCs w:val="28"/>
        </w:rPr>
        <w:t>玉昭</w:t>
      </w:r>
      <w:r w:rsidR="00317CD4">
        <w:rPr>
          <w:rFonts w:ascii="標楷體" w:eastAsia="標楷體" w:hAnsi="標楷體" w:cstheme="minorBidi" w:hint="eastAsia"/>
          <w:kern w:val="2"/>
          <w:sz w:val="28"/>
          <w:szCs w:val="28"/>
        </w:rPr>
        <w:t>等</w:t>
      </w:r>
      <w:r w:rsidR="000451F6">
        <w:rPr>
          <w:rFonts w:ascii="標楷體" w:eastAsia="標楷體" w:hAnsi="標楷體" w:cstheme="minorBidi" w:hint="eastAsia"/>
          <w:kern w:val="2"/>
          <w:sz w:val="28"/>
          <w:szCs w:val="28"/>
        </w:rPr>
        <w:t>二</w:t>
      </w:r>
      <w:r w:rsidR="00AF4492">
        <w:rPr>
          <w:rFonts w:ascii="標楷體" w:eastAsia="標楷體" w:hAnsi="標楷體" w:cstheme="minorBidi" w:hint="eastAsia"/>
          <w:kern w:val="2"/>
          <w:sz w:val="28"/>
          <w:szCs w:val="28"/>
        </w:rPr>
        <w:t>人</w:t>
      </w:r>
      <w:r w:rsidRPr="002330A2">
        <w:rPr>
          <w:rFonts w:ascii="標楷體" w:eastAsia="標楷體" w:hAnsi="標楷體" w:cstheme="minorBidi"/>
          <w:kern w:val="2"/>
          <w:sz w:val="28"/>
          <w:szCs w:val="28"/>
        </w:rPr>
        <w:t>違反</w:t>
      </w:r>
      <w:r w:rsidR="00317CD4">
        <w:rPr>
          <w:rFonts w:ascii="標楷體" w:eastAsia="標楷體" w:hAnsi="標楷體" w:cstheme="minorBidi" w:hint="eastAsia"/>
          <w:kern w:val="2"/>
          <w:sz w:val="28"/>
          <w:szCs w:val="28"/>
        </w:rPr>
        <w:t>貪污治罪條例等</w:t>
      </w:r>
      <w:r w:rsidRPr="002330A2">
        <w:rPr>
          <w:rFonts w:ascii="標楷體" w:eastAsia="標楷體" w:hAnsi="標楷體" w:cstheme="minorBidi"/>
          <w:kern w:val="2"/>
          <w:sz w:val="28"/>
          <w:szCs w:val="28"/>
        </w:rPr>
        <w:t>案件，於今</w:t>
      </w:r>
      <w:r>
        <w:rPr>
          <w:rFonts w:ascii="標楷體" w:eastAsia="標楷體" w:hAnsi="標楷體" w:cstheme="minorBidi"/>
          <w:kern w:val="2"/>
          <w:sz w:val="28"/>
          <w:szCs w:val="28"/>
        </w:rPr>
        <w:t>(</w:t>
      </w:r>
      <w:r w:rsidR="000451F6">
        <w:rPr>
          <w:rFonts w:ascii="標楷體" w:eastAsia="標楷體" w:hAnsi="標楷體" w:cstheme="minorBidi"/>
          <w:kern w:val="2"/>
          <w:sz w:val="28"/>
          <w:szCs w:val="28"/>
        </w:rPr>
        <w:t>19</w:t>
      </w:r>
      <w:r w:rsidRPr="002330A2">
        <w:rPr>
          <w:rFonts w:ascii="標楷體" w:eastAsia="標楷體" w:hAnsi="標楷體" w:cstheme="minorBidi"/>
          <w:kern w:val="2"/>
          <w:sz w:val="28"/>
          <w:szCs w:val="28"/>
        </w:rPr>
        <w:t>)日</w:t>
      </w:r>
      <w:r w:rsidR="00AF4492">
        <w:rPr>
          <w:rFonts w:ascii="標楷體" w:eastAsia="標楷體" w:hAnsi="標楷體" w:cstheme="minorBidi" w:hint="eastAsia"/>
          <w:kern w:val="2"/>
          <w:sz w:val="28"/>
          <w:szCs w:val="28"/>
        </w:rPr>
        <w:t>宣判</w:t>
      </w:r>
      <w:r w:rsidR="00317CD4">
        <w:rPr>
          <w:rFonts w:ascii="標楷體" w:eastAsia="標楷體" w:hAnsi="標楷體" w:cstheme="minorBidi" w:hint="eastAsia"/>
          <w:kern w:val="2"/>
          <w:sz w:val="28"/>
          <w:szCs w:val="28"/>
        </w:rPr>
        <w:t>。</w:t>
      </w:r>
      <w:r w:rsidRPr="002330A2">
        <w:rPr>
          <w:rFonts w:ascii="標楷體" w:eastAsia="標楷體" w:hAnsi="標楷體" w:cstheme="minorBidi"/>
          <w:kern w:val="2"/>
          <w:sz w:val="28"/>
          <w:szCs w:val="28"/>
        </w:rPr>
        <w:t>茲簡要說明</w:t>
      </w:r>
      <w:r w:rsidR="002D0A89">
        <w:rPr>
          <w:rFonts w:ascii="標楷體" w:eastAsia="標楷體" w:hAnsi="標楷體" w:cstheme="minorBidi" w:hint="eastAsia"/>
          <w:kern w:val="2"/>
          <w:sz w:val="28"/>
          <w:szCs w:val="28"/>
        </w:rPr>
        <w:t>判決</w:t>
      </w:r>
      <w:r w:rsidRPr="002330A2">
        <w:rPr>
          <w:rFonts w:ascii="標楷體" w:eastAsia="標楷體" w:hAnsi="標楷體" w:cstheme="minorBidi"/>
          <w:kern w:val="2"/>
          <w:sz w:val="28"/>
          <w:szCs w:val="28"/>
        </w:rPr>
        <w:t>重點如下：</w:t>
      </w:r>
    </w:p>
    <w:p w:rsidR="001403F1" w:rsidRDefault="00EB53BD" w:rsidP="001403F1">
      <w:pPr>
        <w:suppressAutoHyphens w:val="0"/>
        <w:autoSpaceDN/>
        <w:ind w:leftChars="-11" w:left="-26"/>
        <w:jc w:val="both"/>
        <w:textAlignment w:val="auto"/>
        <w:rPr>
          <w:rFonts w:ascii="標楷體" w:eastAsia="標楷體" w:hAnsi="標楷體" w:cstheme="minorBidi"/>
          <w:kern w:val="2"/>
          <w:sz w:val="28"/>
          <w:szCs w:val="28"/>
        </w:rPr>
      </w:pPr>
      <w:r w:rsidRPr="002330A2">
        <w:rPr>
          <w:rFonts w:ascii="標楷體" w:eastAsia="標楷體" w:hAnsi="標楷體" w:cstheme="minorBidi"/>
          <w:kern w:val="2"/>
          <w:sz w:val="28"/>
          <w:szCs w:val="28"/>
        </w:rPr>
        <w:t>壹、主文</w:t>
      </w:r>
    </w:p>
    <w:p w:rsidR="000451F6" w:rsidRPr="000451F6" w:rsidRDefault="000451F6" w:rsidP="000451F6">
      <w:pPr>
        <w:suppressAutoHyphens w:val="0"/>
        <w:autoSpaceDN/>
        <w:jc w:val="both"/>
        <w:textAlignment w:val="auto"/>
        <w:rPr>
          <w:rFonts w:ascii="標楷體" w:eastAsia="標楷體" w:hAnsi="標楷體" w:cstheme="minorBidi"/>
          <w:kern w:val="2"/>
          <w:sz w:val="28"/>
          <w:szCs w:val="28"/>
        </w:rPr>
      </w:pPr>
      <w:r w:rsidRPr="000451F6">
        <w:rPr>
          <w:rFonts w:ascii="標楷體" w:eastAsia="標楷體" w:hAnsi="標楷體" w:cstheme="minorBidi" w:hint="eastAsia"/>
          <w:kern w:val="2"/>
          <w:sz w:val="28"/>
          <w:szCs w:val="28"/>
        </w:rPr>
        <w:t>許玉昭共同犯利用職務機會詐取財物罪，共參罪，各處有期徒刑參年捌月、參年陸月、參年拾月，並分別褫奪公權肆年、參年、伍年。應執行有期徒刑肆年，褫奪公權伍年。扣案之犯罪所得新臺幣貳佰參拾貳萬玖仟捌佰肆拾伍元沒收之。</w:t>
      </w:r>
    </w:p>
    <w:p w:rsidR="000451F6" w:rsidRPr="000451F6" w:rsidRDefault="000451F6" w:rsidP="000451F6">
      <w:pPr>
        <w:suppressAutoHyphens w:val="0"/>
        <w:autoSpaceDN/>
        <w:jc w:val="both"/>
        <w:textAlignment w:val="auto"/>
        <w:rPr>
          <w:rFonts w:ascii="標楷體" w:eastAsia="標楷體" w:hAnsi="標楷體" w:cstheme="minorBidi"/>
          <w:kern w:val="2"/>
          <w:sz w:val="28"/>
          <w:szCs w:val="28"/>
        </w:rPr>
      </w:pPr>
      <w:r w:rsidRPr="000451F6">
        <w:rPr>
          <w:rFonts w:ascii="標楷體" w:eastAsia="標楷體" w:hAnsi="標楷體" w:cstheme="minorBidi" w:hint="eastAsia"/>
          <w:kern w:val="2"/>
          <w:sz w:val="28"/>
          <w:szCs w:val="28"/>
        </w:rPr>
        <w:t>陳翠琴非公務員與公務員共同犯利用職務機會詐取財物罪，處有期徒刑壹年拾月，褫奪公權貳年。緩刑參年，並應於本判決確定後陸個月內向公庫支付新臺幣拾萬元。扣案如附表5編號9所示之物沒收之</w:t>
      </w:r>
      <w:r>
        <w:rPr>
          <w:rFonts w:ascii="標楷體" w:eastAsia="標楷體" w:hAnsi="標楷體" w:cstheme="minorBidi" w:hint="eastAsia"/>
          <w:kern w:val="2"/>
          <w:sz w:val="28"/>
          <w:szCs w:val="28"/>
        </w:rPr>
        <w:t>。</w:t>
      </w:r>
    </w:p>
    <w:p w:rsidR="00335AE4" w:rsidRDefault="002E2488" w:rsidP="00AF4492">
      <w:pPr>
        <w:suppressAutoHyphens w:val="0"/>
        <w:autoSpaceDN/>
        <w:ind w:left="532" w:hangingChars="190" w:hanging="532"/>
        <w:jc w:val="both"/>
        <w:textAlignment w:val="auto"/>
        <w:rPr>
          <w:rFonts w:ascii="標楷體" w:eastAsia="標楷體" w:hAnsi="標楷體" w:cstheme="minorBidi"/>
          <w:kern w:val="2"/>
          <w:sz w:val="28"/>
          <w:szCs w:val="28"/>
        </w:rPr>
      </w:pPr>
      <w:r>
        <w:rPr>
          <w:rFonts w:ascii="標楷體" w:eastAsia="標楷體" w:hAnsi="標楷體" w:cstheme="minorBidi" w:hint="eastAsia"/>
          <w:kern w:val="2"/>
          <w:sz w:val="28"/>
          <w:szCs w:val="28"/>
        </w:rPr>
        <w:t>貳</w:t>
      </w:r>
      <w:r w:rsidR="00EB53BD" w:rsidRPr="00C75F92">
        <w:rPr>
          <w:rFonts w:ascii="標楷體" w:eastAsia="標楷體" w:hAnsi="標楷體" w:cstheme="minorBidi"/>
          <w:kern w:val="2"/>
          <w:sz w:val="28"/>
          <w:szCs w:val="28"/>
        </w:rPr>
        <w:t>、</w:t>
      </w:r>
      <w:r w:rsidR="00AF4492">
        <w:rPr>
          <w:rFonts w:ascii="標楷體" w:eastAsia="標楷體" w:hAnsi="標楷體" w:cstheme="minorBidi" w:hint="eastAsia"/>
          <w:kern w:val="2"/>
          <w:sz w:val="28"/>
          <w:szCs w:val="28"/>
        </w:rPr>
        <w:t>事實摘要：</w:t>
      </w:r>
    </w:p>
    <w:p w:rsidR="00335AE4" w:rsidRDefault="00335AE4" w:rsidP="00AF4492">
      <w:pPr>
        <w:suppressAutoHyphens w:val="0"/>
        <w:autoSpaceDN/>
        <w:ind w:left="532" w:hangingChars="190" w:hanging="532"/>
        <w:jc w:val="both"/>
        <w:textAlignment w:val="auto"/>
        <w:rPr>
          <w:rFonts w:ascii="標楷體" w:eastAsia="標楷體" w:hAnsi="標楷體" w:cstheme="minorBidi"/>
          <w:kern w:val="2"/>
          <w:sz w:val="28"/>
          <w:szCs w:val="28"/>
        </w:rPr>
      </w:pPr>
      <w:r>
        <w:rPr>
          <w:rFonts w:ascii="標楷體" w:eastAsia="標楷體" w:hAnsi="標楷體" w:cstheme="minorBidi" w:hint="eastAsia"/>
          <w:kern w:val="2"/>
          <w:sz w:val="28"/>
          <w:szCs w:val="28"/>
        </w:rPr>
        <w:t>一、</w:t>
      </w:r>
      <w:r w:rsidR="000451F6" w:rsidRPr="000451F6">
        <w:rPr>
          <w:rFonts w:ascii="標楷體" w:eastAsia="標楷體" w:hAnsi="標楷體" w:cstheme="minorBidi" w:hint="eastAsia"/>
          <w:kern w:val="2"/>
          <w:sz w:val="28"/>
          <w:szCs w:val="28"/>
        </w:rPr>
        <w:t>許玉昭自民國91年3月1日起迄今，擔任金門縣議會第3屆至第8屆議員，對金門縣政府及其所屬機關之公務執行具有質詢、</w:t>
      </w:r>
      <w:r w:rsidR="000451F6" w:rsidRPr="000451F6">
        <w:rPr>
          <w:rFonts w:ascii="標楷體" w:eastAsia="標楷體" w:hAnsi="標楷體" w:cstheme="minorBidi" w:hint="eastAsia"/>
          <w:kern w:val="2"/>
          <w:sz w:val="28"/>
          <w:szCs w:val="28"/>
        </w:rPr>
        <w:lastRenderedPageBreak/>
        <w:t>審議及監督權，屬依法令服務於地方自治團體所屬機關，且具有法定職務權限之身分公務員。緣許玉昭知悉金門縣議員之公費助理補助費用均由金門縣議會編列預算支付，並非議員薪資之一部分，亦非對議員個人之實質補貼，若未實際聘用公費助理，並實際</w:t>
      </w:r>
      <w:r w:rsidR="000451F6">
        <w:rPr>
          <w:rFonts w:ascii="標楷體" w:eastAsia="標楷體" w:hAnsi="標楷體" w:cstheme="minorBidi" w:hint="eastAsia"/>
          <w:kern w:val="2"/>
          <w:sz w:val="28"/>
          <w:szCs w:val="28"/>
        </w:rPr>
        <w:t>給付薪資，不得假借聘用而虛報公費助理，進而領取公費助理補助費用</w:t>
      </w:r>
      <w:r w:rsidR="00AF4492" w:rsidRPr="00AF4492">
        <w:rPr>
          <w:rFonts w:ascii="標楷體" w:eastAsia="標楷體" w:hAnsi="標楷體" w:cstheme="minorBidi" w:hint="eastAsia"/>
          <w:kern w:val="2"/>
          <w:sz w:val="28"/>
          <w:szCs w:val="28"/>
        </w:rPr>
        <w:t>。</w:t>
      </w:r>
    </w:p>
    <w:p w:rsidR="00AF4492" w:rsidRDefault="00335AE4" w:rsidP="00AF4492">
      <w:pPr>
        <w:suppressAutoHyphens w:val="0"/>
        <w:autoSpaceDN/>
        <w:ind w:left="532" w:hangingChars="190" w:hanging="532"/>
        <w:jc w:val="both"/>
        <w:textAlignment w:val="auto"/>
        <w:rPr>
          <w:rFonts w:ascii="標楷體" w:eastAsia="標楷體" w:hAnsi="標楷體" w:cstheme="minorBidi"/>
          <w:kern w:val="2"/>
          <w:sz w:val="28"/>
          <w:szCs w:val="28"/>
        </w:rPr>
      </w:pPr>
      <w:r>
        <w:rPr>
          <w:rFonts w:ascii="標楷體" w:eastAsia="標楷體" w:hAnsi="標楷體" w:cstheme="minorBidi" w:hint="eastAsia"/>
          <w:kern w:val="2"/>
          <w:sz w:val="28"/>
          <w:szCs w:val="28"/>
        </w:rPr>
        <w:t>二、</w:t>
      </w:r>
      <w:r w:rsidR="000451F6" w:rsidRPr="000451F6">
        <w:rPr>
          <w:rFonts w:ascii="標楷體" w:eastAsia="標楷體" w:hAnsi="標楷體" w:cstheme="minorBidi" w:hint="eastAsia"/>
          <w:kern w:val="2"/>
          <w:sz w:val="28"/>
          <w:szCs w:val="28"/>
        </w:rPr>
        <w:t>許玉昭</w:t>
      </w:r>
      <w:r w:rsidR="009009F1">
        <w:rPr>
          <w:rFonts w:ascii="MS Gothic" w:eastAsia="MS Gothic" w:hAnsi="MS Gothic" w:cs="MS Gothic" w:hint="eastAsia"/>
          <w:kern w:val="2"/>
          <w:sz w:val="28"/>
          <w:szCs w:val="28"/>
        </w:rPr>
        <w:t>㈠</w:t>
      </w:r>
      <w:r w:rsidR="000451F6" w:rsidRPr="000451F6">
        <w:rPr>
          <w:rFonts w:ascii="標楷體" w:eastAsia="標楷體" w:hAnsi="標楷體" w:cstheme="minorBidi" w:hint="eastAsia"/>
          <w:kern w:val="2"/>
          <w:sz w:val="28"/>
          <w:szCs w:val="28"/>
        </w:rPr>
        <w:t>自92年起至101年1月31日止，出具聘書、國民身分證影本及金融帳戶存摺影本等資料，向金門縣議會表示聘用許丕貞擔任其公費助理，惟許丕貞於100年5月6日即已出境前往美國，迄至102年3月26日始返回我國境內，而未於100年5月7日至101年1月31日間實際執行公費助理職務，許玉昭、許丕貞竟隱瞞此情，仍持續向金門縣議</w:t>
      </w:r>
      <w:r w:rsidR="000451F6">
        <w:rPr>
          <w:rFonts w:ascii="標楷體" w:eastAsia="標楷體" w:hAnsi="標楷體" w:cstheme="minorBidi" w:hint="eastAsia"/>
          <w:kern w:val="2"/>
          <w:sz w:val="28"/>
          <w:szCs w:val="28"/>
        </w:rPr>
        <w:t>會請領公費助理補助費用；</w:t>
      </w:r>
      <w:r w:rsidR="009009F1">
        <w:rPr>
          <w:rFonts w:ascii="MS Gothic" w:eastAsia="MS Gothic" w:hAnsi="MS Gothic" w:cs="MS Gothic" w:hint="eastAsia"/>
          <w:kern w:val="2"/>
          <w:sz w:val="28"/>
          <w:szCs w:val="28"/>
        </w:rPr>
        <w:t>㈡</w:t>
      </w:r>
      <w:r w:rsidR="000451F6" w:rsidRPr="000451F6">
        <w:rPr>
          <w:rFonts w:ascii="標楷體" w:eastAsia="標楷體" w:hAnsi="標楷體" w:cstheme="minorBidi" w:hint="eastAsia"/>
          <w:kern w:val="2"/>
          <w:sz w:val="28"/>
          <w:szCs w:val="28"/>
        </w:rPr>
        <w:t>自101年2月1日起至101年8月31日止，出具聘書、國民身分證影本及金融帳戶存摺影本等資料，向金門縣議會表示聘用楊許冬蜜擔任其公費助理，惟楊許冬蜜於101年4月30日即已出境前往美國，迄至101年10月2日始返回我國境內，而未於101年5月1日至101年8月31日間實際執行公費助理業務，許玉</w:t>
      </w:r>
      <w:r w:rsidR="000451F6">
        <w:rPr>
          <w:rFonts w:ascii="標楷體" w:eastAsia="標楷體" w:hAnsi="標楷體" w:cstheme="minorBidi" w:hint="eastAsia"/>
          <w:kern w:val="2"/>
          <w:sz w:val="28"/>
          <w:szCs w:val="28"/>
        </w:rPr>
        <w:t>昭、楊許冬蜜竟隱瞞此情，仍持續向金門縣議會請領公費助理補助費用；</w:t>
      </w:r>
      <w:r w:rsidR="009009F1">
        <w:rPr>
          <w:rFonts w:ascii="MS Gothic" w:eastAsia="MS Gothic" w:hAnsi="MS Gothic" w:cs="MS Gothic" w:hint="eastAsia"/>
          <w:kern w:val="2"/>
          <w:sz w:val="28"/>
          <w:szCs w:val="28"/>
        </w:rPr>
        <w:t>㈢</w:t>
      </w:r>
      <w:r w:rsidR="009009F1" w:rsidRPr="009009F1">
        <w:rPr>
          <w:rFonts w:ascii="標楷體" w:eastAsia="標楷體" w:hAnsi="標楷體" w:cstheme="minorBidi" w:hint="eastAsia"/>
          <w:kern w:val="2"/>
          <w:sz w:val="28"/>
          <w:szCs w:val="28"/>
        </w:rPr>
        <w:t>自100年3月1日起至110年12月31日止，出</w:t>
      </w:r>
      <w:r w:rsidR="009009F1" w:rsidRPr="009009F1">
        <w:rPr>
          <w:rFonts w:ascii="標楷體" w:eastAsia="標楷體" w:hAnsi="標楷體" w:cstheme="minorBidi" w:hint="eastAsia"/>
          <w:kern w:val="2"/>
          <w:sz w:val="28"/>
          <w:szCs w:val="28"/>
        </w:rPr>
        <w:lastRenderedPageBreak/>
        <w:t>具聘書、國民身分證影本及金融帳戶存摺影本等資料，向金門縣議會表示聘用陳翠琴擔任其公費助理，惟陳翠琴於104年10月1日至108年5月31</w:t>
      </w:r>
      <w:r w:rsidR="009009F1">
        <w:rPr>
          <w:rFonts w:ascii="標楷體" w:eastAsia="標楷體" w:hAnsi="標楷體" w:cstheme="minorBidi" w:hint="eastAsia"/>
          <w:kern w:val="2"/>
          <w:sz w:val="28"/>
          <w:szCs w:val="28"/>
        </w:rPr>
        <w:t>日間任職於金門縣某</w:t>
      </w:r>
      <w:r w:rsidR="009009F1" w:rsidRPr="009009F1">
        <w:rPr>
          <w:rFonts w:ascii="標楷體" w:eastAsia="標楷體" w:hAnsi="標楷體" w:cstheme="minorBidi" w:hint="eastAsia"/>
          <w:kern w:val="2"/>
          <w:sz w:val="28"/>
          <w:szCs w:val="28"/>
        </w:rPr>
        <w:t>托嬰中心，僅兼職執行公費助理業務，每月經由許玉昭之分配，僅實際領取公費助理薪資</w:t>
      </w:r>
      <w:r w:rsidR="009009F1">
        <w:rPr>
          <w:rFonts w:ascii="標楷體" w:eastAsia="標楷體" w:hAnsi="標楷體" w:cstheme="minorBidi" w:hint="eastAsia"/>
          <w:kern w:val="2"/>
          <w:sz w:val="28"/>
          <w:szCs w:val="28"/>
        </w:rPr>
        <w:t>新臺幣（下同）</w:t>
      </w:r>
      <w:r w:rsidR="009009F1" w:rsidRPr="009009F1">
        <w:rPr>
          <w:rFonts w:ascii="標楷體" w:eastAsia="標楷體" w:hAnsi="標楷體" w:cstheme="minorBidi" w:hint="eastAsia"/>
          <w:kern w:val="2"/>
          <w:sz w:val="28"/>
          <w:szCs w:val="28"/>
        </w:rPr>
        <w:t>2萬元；另陳翠琴於108年6月3日至110年12月31</w:t>
      </w:r>
      <w:r w:rsidR="009009F1">
        <w:rPr>
          <w:rFonts w:ascii="標楷體" w:eastAsia="標楷體" w:hAnsi="標楷體" w:cstheme="minorBidi" w:hint="eastAsia"/>
          <w:kern w:val="2"/>
          <w:sz w:val="28"/>
          <w:szCs w:val="28"/>
        </w:rPr>
        <w:t>日間陸續任職於金門縣某</w:t>
      </w:r>
      <w:r w:rsidR="009009F1" w:rsidRPr="009009F1">
        <w:rPr>
          <w:rFonts w:ascii="標楷體" w:eastAsia="標楷體" w:hAnsi="標楷體" w:cstheme="minorBidi" w:hint="eastAsia"/>
          <w:kern w:val="2"/>
          <w:sz w:val="28"/>
          <w:szCs w:val="28"/>
        </w:rPr>
        <w:t>托嬰中心及金湖公辦民營托嬰中心，而未實際執行公費助理業務，許玉昭、陳翠琴竟隱瞞此情，仍持續向金門縣議會請領公費助理補助費用</w:t>
      </w:r>
      <w:r w:rsidR="009009F1">
        <w:rPr>
          <w:rFonts w:ascii="標楷體" w:eastAsia="標楷體" w:hAnsi="標楷體" w:cstheme="minorBidi" w:hint="eastAsia"/>
          <w:kern w:val="2"/>
          <w:sz w:val="28"/>
          <w:szCs w:val="28"/>
        </w:rPr>
        <w:t>。導致</w:t>
      </w:r>
      <w:r w:rsidR="009009F1" w:rsidRPr="009009F1">
        <w:rPr>
          <w:rFonts w:ascii="標楷體" w:eastAsia="標楷體" w:hAnsi="標楷體" w:cstheme="minorBidi" w:hint="eastAsia"/>
          <w:kern w:val="2"/>
          <w:sz w:val="28"/>
          <w:szCs w:val="28"/>
        </w:rPr>
        <w:t>金門縣議會承辦公費助理補助費用之人員</w:t>
      </w:r>
      <w:r w:rsidR="009009F1">
        <w:rPr>
          <w:rFonts w:ascii="標楷體" w:eastAsia="標楷體" w:hAnsi="標楷體" w:cstheme="minorBidi" w:hint="eastAsia"/>
          <w:kern w:val="2"/>
          <w:sz w:val="28"/>
          <w:szCs w:val="28"/>
        </w:rPr>
        <w:t>，誤</w:t>
      </w:r>
      <w:r w:rsidR="009009F1" w:rsidRPr="009009F1">
        <w:rPr>
          <w:rFonts w:ascii="標楷體" w:eastAsia="標楷體" w:hAnsi="標楷體" w:cstheme="minorBidi" w:hint="eastAsia"/>
          <w:kern w:val="2"/>
          <w:sz w:val="28"/>
          <w:szCs w:val="28"/>
        </w:rPr>
        <w:t>將上述公費助理薪資及春節慰勞金匯入許丕貞、楊許冬蜜及陳翠琴申辦之各該金融帳戶後，除陳翠琴有於兼職執行公費助理業務期間實際領取</w:t>
      </w:r>
      <w:r w:rsidR="009009F1">
        <w:rPr>
          <w:rFonts w:ascii="標楷體" w:eastAsia="標楷體" w:hAnsi="標楷體" w:cstheme="minorBidi" w:hint="eastAsia"/>
          <w:kern w:val="2"/>
          <w:sz w:val="28"/>
          <w:szCs w:val="28"/>
        </w:rPr>
        <w:t>部分金額</w:t>
      </w:r>
      <w:r w:rsidR="009009F1" w:rsidRPr="009009F1">
        <w:rPr>
          <w:rFonts w:ascii="標楷體" w:eastAsia="標楷體" w:hAnsi="標楷體" w:cstheme="minorBidi" w:hint="eastAsia"/>
          <w:kern w:val="2"/>
          <w:sz w:val="28"/>
          <w:szCs w:val="28"/>
        </w:rPr>
        <w:t>外，其餘公費</w:t>
      </w:r>
      <w:r w:rsidR="009009F1">
        <w:rPr>
          <w:rFonts w:ascii="標楷體" w:eastAsia="標楷體" w:hAnsi="標楷體" w:cstheme="minorBidi" w:hint="eastAsia"/>
          <w:kern w:val="2"/>
          <w:sz w:val="28"/>
          <w:szCs w:val="28"/>
        </w:rPr>
        <w:t>助理補助費用均由許玉昭自行或指示不知情之外甥持</w:t>
      </w:r>
      <w:r w:rsidR="009009F1" w:rsidRPr="009009F1">
        <w:rPr>
          <w:rFonts w:ascii="標楷體" w:eastAsia="標楷體" w:hAnsi="標楷體" w:cstheme="minorBidi" w:hint="eastAsia"/>
          <w:kern w:val="2"/>
          <w:sz w:val="28"/>
          <w:szCs w:val="28"/>
        </w:rPr>
        <w:t>金融帳戶之提款卡等資料提領或轉匯一空，並將款項用於購買茶葉、茶點、伴手禮、防疫用品、收購家戶配酒、老酒、放款予他人、繳納房屋貸款或購置土地及支出商旅整修費用等個人用途，合計詐領232萬9,845元。</w:t>
      </w:r>
    </w:p>
    <w:p w:rsidR="001403F1" w:rsidRDefault="00AF4492" w:rsidP="00EB53BD">
      <w:pPr>
        <w:suppressAutoHyphens w:val="0"/>
        <w:autoSpaceDN/>
        <w:jc w:val="both"/>
        <w:textAlignment w:val="auto"/>
        <w:rPr>
          <w:rFonts w:ascii="標楷體" w:eastAsia="標楷體" w:hAnsi="標楷體" w:cstheme="minorBidi"/>
          <w:kern w:val="2"/>
          <w:sz w:val="28"/>
          <w:szCs w:val="28"/>
        </w:rPr>
      </w:pPr>
      <w:r>
        <w:rPr>
          <w:rFonts w:ascii="標楷體" w:eastAsia="標楷體" w:hAnsi="標楷體" w:cstheme="minorBidi" w:hint="eastAsia"/>
          <w:kern w:val="2"/>
          <w:sz w:val="28"/>
          <w:szCs w:val="28"/>
        </w:rPr>
        <w:t>參、</w:t>
      </w:r>
      <w:r w:rsidR="00EB53BD" w:rsidRPr="00C75F92">
        <w:rPr>
          <w:rFonts w:ascii="標楷體" w:eastAsia="標楷體" w:hAnsi="標楷體" w:cstheme="minorBidi"/>
          <w:kern w:val="2"/>
          <w:sz w:val="28"/>
          <w:szCs w:val="28"/>
        </w:rPr>
        <w:t>理由摘要</w:t>
      </w:r>
    </w:p>
    <w:p w:rsidR="00C06941" w:rsidRDefault="002E2488" w:rsidP="00A572B8">
      <w:pPr>
        <w:suppressAutoHyphens w:val="0"/>
        <w:autoSpaceDN/>
        <w:ind w:left="532" w:hangingChars="190" w:hanging="532"/>
        <w:jc w:val="both"/>
        <w:textAlignment w:val="auto"/>
        <w:rPr>
          <w:rFonts w:ascii="標楷體" w:eastAsia="標楷體" w:hAnsi="標楷體" w:cstheme="minorBidi"/>
          <w:kern w:val="2"/>
          <w:sz w:val="28"/>
          <w:szCs w:val="28"/>
        </w:rPr>
      </w:pPr>
      <w:r>
        <w:rPr>
          <w:rFonts w:ascii="標楷體" w:eastAsia="標楷體" w:hAnsi="標楷體" w:cstheme="minorBidi" w:hint="eastAsia"/>
          <w:kern w:val="2"/>
          <w:sz w:val="28"/>
          <w:szCs w:val="28"/>
        </w:rPr>
        <w:t>一、</w:t>
      </w:r>
      <w:r w:rsidRPr="002E2488">
        <w:rPr>
          <w:rFonts w:ascii="標楷體" w:eastAsia="標楷體" w:hAnsi="標楷體" w:cstheme="minorBidi"/>
          <w:kern w:val="2"/>
          <w:sz w:val="28"/>
          <w:szCs w:val="28"/>
        </w:rPr>
        <w:t>被告</w:t>
      </w:r>
      <w:r w:rsidR="009009F1">
        <w:rPr>
          <w:rFonts w:ascii="標楷體" w:eastAsia="標楷體" w:hAnsi="標楷體" w:cstheme="minorBidi" w:hint="eastAsia"/>
          <w:kern w:val="2"/>
          <w:sz w:val="28"/>
          <w:szCs w:val="28"/>
        </w:rPr>
        <w:t>二人於</w:t>
      </w:r>
      <w:r w:rsidR="009009F1" w:rsidRPr="009009F1">
        <w:rPr>
          <w:rFonts w:ascii="標楷體" w:eastAsia="標楷體" w:hAnsi="標楷體" w:cstheme="minorBidi" w:hint="eastAsia"/>
          <w:kern w:val="2"/>
          <w:sz w:val="28"/>
          <w:szCs w:val="28"/>
        </w:rPr>
        <w:t>於偵查中及本院審理時</w:t>
      </w:r>
      <w:r w:rsidR="009009F1">
        <w:rPr>
          <w:rFonts w:ascii="標楷體" w:eastAsia="標楷體" w:hAnsi="標楷體" w:cstheme="minorBidi" w:hint="eastAsia"/>
          <w:kern w:val="2"/>
          <w:sz w:val="28"/>
          <w:szCs w:val="28"/>
        </w:rPr>
        <w:t>，對上開犯罪事實均</w:t>
      </w:r>
      <w:r w:rsidR="009009F1" w:rsidRPr="009009F1">
        <w:rPr>
          <w:rFonts w:ascii="標楷體" w:eastAsia="標楷體" w:hAnsi="標楷體" w:cstheme="minorBidi" w:hint="eastAsia"/>
          <w:kern w:val="2"/>
          <w:sz w:val="28"/>
          <w:szCs w:val="28"/>
        </w:rPr>
        <w:t>坦認不諱</w:t>
      </w:r>
      <w:r w:rsidR="009009F1">
        <w:rPr>
          <w:rFonts w:ascii="標楷體" w:eastAsia="標楷體" w:hAnsi="標楷體" w:cstheme="minorBidi" w:hint="eastAsia"/>
          <w:kern w:val="2"/>
          <w:sz w:val="28"/>
          <w:szCs w:val="28"/>
        </w:rPr>
        <w:t>，並有相關資料在卷為憑，足證被告二人之犯行事證明確</w:t>
      </w:r>
      <w:r w:rsidR="00335AE4" w:rsidRPr="00335AE4">
        <w:rPr>
          <w:rFonts w:ascii="標楷體" w:eastAsia="標楷體" w:hAnsi="標楷體" w:cstheme="minorBidi" w:hint="eastAsia"/>
          <w:kern w:val="2"/>
          <w:sz w:val="28"/>
          <w:szCs w:val="28"/>
        </w:rPr>
        <w:t>。</w:t>
      </w:r>
      <w:r w:rsidR="00F35A63" w:rsidRPr="00F35A63">
        <w:rPr>
          <w:rFonts w:ascii="標楷體" w:eastAsia="標楷體" w:hAnsi="標楷體" w:cs="標楷體" w:hint="eastAsia"/>
          <w:kern w:val="2"/>
          <w:sz w:val="28"/>
          <w:szCs w:val="28"/>
        </w:rPr>
        <w:t>被告</w:t>
      </w:r>
      <w:r w:rsidR="00271ABD">
        <w:rPr>
          <w:rFonts w:ascii="標楷體" w:eastAsia="標楷體" w:hAnsi="標楷體" w:cs="標楷體" w:hint="eastAsia"/>
          <w:kern w:val="2"/>
          <w:sz w:val="28"/>
          <w:szCs w:val="28"/>
        </w:rPr>
        <w:t>二</w:t>
      </w:r>
      <w:r w:rsidR="00271ABD">
        <w:rPr>
          <w:rFonts w:ascii="標楷體" w:eastAsia="標楷體" w:hAnsi="標楷體" w:cs="標楷體" w:hint="eastAsia"/>
          <w:kern w:val="2"/>
          <w:sz w:val="28"/>
          <w:szCs w:val="28"/>
        </w:rPr>
        <w:lastRenderedPageBreak/>
        <w:t>人</w:t>
      </w:r>
      <w:r w:rsidR="00F35A63" w:rsidRPr="00F35A63">
        <w:rPr>
          <w:rFonts w:ascii="標楷體" w:eastAsia="標楷體" w:hAnsi="標楷體" w:cs="標楷體" w:hint="eastAsia"/>
          <w:kern w:val="2"/>
          <w:sz w:val="28"/>
          <w:szCs w:val="28"/>
        </w:rPr>
        <w:t>所為，均係犯貪污治罪條例第</w:t>
      </w:r>
      <w:r w:rsidR="00F35A63" w:rsidRPr="00F35A63">
        <w:rPr>
          <w:rFonts w:ascii="標楷體" w:eastAsia="標楷體" w:hAnsi="標楷體" w:cstheme="minorBidi" w:hint="eastAsia"/>
          <w:kern w:val="2"/>
          <w:sz w:val="28"/>
          <w:szCs w:val="28"/>
        </w:rPr>
        <w:t>5條第1項第2款之利用職務上機會詐取財物罪，及刑法第214條之使公務員登載不實公文書罪</w:t>
      </w:r>
      <w:r w:rsidR="00271ABD">
        <w:rPr>
          <w:rFonts w:ascii="標楷體" w:eastAsia="標楷體" w:hAnsi="標楷體" w:cstheme="minorBidi" w:hint="eastAsia"/>
          <w:kern w:val="2"/>
          <w:sz w:val="28"/>
          <w:szCs w:val="28"/>
        </w:rPr>
        <w:t>，並</w:t>
      </w:r>
      <w:r w:rsidR="00F35A63" w:rsidRPr="00F35A63">
        <w:rPr>
          <w:rFonts w:ascii="標楷體" w:eastAsia="標楷體" w:hAnsi="標楷體" w:cs="標楷體" w:hint="eastAsia"/>
          <w:kern w:val="2"/>
          <w:sz w:val="28"/>
          <w:szCs w:val="28"/>
        </w:rPr>
        <w:t>應依刑法第</w:t>
      </w:r>
      <w:r w:rsidR="00F35A63" w:rsidRPr="00F35A63">
        <w:rPr>
          <w:rFonts w:ascii="標楷體" w:eastAsia="標楷體" w:hAnsi="標楷體" w:cstheme="minorBidi" w:hint="eastAsia"/>
          <w:kern w:val="2"/>
          <w:sz w:val="28"/>
          <w:szCs w:val="28"/>
        </w:rPr>
        <w:t>55條前段之規定，均從一重之利用職務上機會詐取財物罪論處。</w:t>
      </w:r>
      <w:r w:rsidR="00271ABD">
        <w:rPr>
          <w:rFonts w:ascii="標楷體" w:eastAsia="標楷體" w:hAnsi="標楷體" w:cstheme="minorBidi" w:hint="eastAsia"/>
          <w:kern w:val="2"/>
          <w:sz w:val="28"/>
          <w:szCs w:val="28"/>
        </w:rPr>
        <w:t>被告許玉昭</w:t>
      </w:r>
      <w:r w:rsidR="00F35A63" w:rsidRPr="00F35A63">
        <w:rPr>
          <w:rFonts w:ascii="標楷體" w:eastAsia="標楷體" w:hAnsi="標楷體" w:cstheme="minorBidi" w:hint="eastAsia"/>
          <w:kern w:val="2"/>
          <w:sz w:val="28"/>
          <w:szCs w:val="28"/>
        </w:rPr>
        <w:t>上開</w:t>
      </w:r>
      <w:r w:rsidR="00271ABD" w:rsidRPr="00271ABD">
        <w:rPr>
          <w:rFonts w:ascii="MS Gothic" w:eastAsia="MS Gothic" w:hAnsi="MS Gothic" w:cs="MS Gothic" w:hint="eastAsia"/>
          <w:kern w:val="2"/>
          <w:sz w:val="28"/>
          <w:szCs w:val="28"/>
        </w:rPr>
        <w:t>㈠</w:t>
      </w:r>
      <w:r w:rsidR="00271ABD" w:rsidRPr="00271ABD">
        <w:rPr>
          <w:rFonts w:ascii="標楷體" w:eastAsia="標楷體" w:hAnsi="標楷體" w:cs="標楷體" w:hint="eastAsia"/>
          <w:kern w:val="2"/>
          <w:sz w:val="28"/>
          <w:szCs w:val="28"/>
        </w:rPr>
        <w:t>至</w:t>
      </w:r>
      <w:r w:rsidR="00271ABD" w:rsidRPr="00271ABD">
        <w:rPr>
          <w:rFonts w:ascii="MS Gothic" w:eastAsia="MS Gothic" w:hAnsi="MS Gothic" w:cs="MS Gothic" w:hint="eastAsia"/>
          <w:kern w:val="2"/>
          <w:sz w:val="28"/>
          <w:szCs w:val="28"/>
        </w:rPr>
        <w:t>㈢</w:t>
      </w:r>
      <w:r w:rsidR="00F35A63" w:rsidRPr="00F35A63">
        <w:rPr>
          <w:rFonts w:ascii="標楷體" w:eastAsia="標楷體" w:hAnsi="標楷體" w:cstheme="minorBidi" w:hint="eastAsia"/>
          <w:kern w:val="2"/>
          <w:sz w:val="28"/>
          <w:szCs w:val="28"/>
        </w:rPr>
        <w:t>3次犯行，犯意各別，行為互殊，應分論併罰之。</w:t>
      </w:r>
    </w:p>
    <w:p w:rsidR="005B14B0" w:rsidRDefault="002E2488" w:rsidP="005B14B0">
      <w:pPr>
        <w:suppressAutoHyphens w:val="0"/>
        <w:autoSpaceDN/>
        <w:ind w:left="532" w:hangingChars="190" w:hanging="532"/>
        <w:jc w:val="both"/>
        <w:textAlignment w:val="auto"/>
        <w:rPr>
          <w:rFonts w:ascii="標楷體" w:eastAsia="標楷體" w:hAnsi="標楷體" w:cstheme="minorBidi"/>
          <w:kern w:val="2"/>
          <w:sz w:val="28"/>
          <w:szCs w:val="28"/>
        </w:rPr>
      </w:pPr>
      <w:r>
        <w:rPr>
          <w:rFonts w:ascii="標楷體" w:eastAsia="標楷體" w:hAnsi="標楷體" w:cstheme="minorBidi" w:hint="eastAsia"/>
          <w:kern w:val="2"/>
          <w:sz w:val="28"/>
          <w:szCs w:val="28"/>
        </w:rPr>
        <w:t>二、</w:t>
      </w:r>
      <w:r w:rsidR="005B14B0" w:rsidRPr="005B14B0">
        <w:rPr>
          <w:rFonts w:ascii="標楷體" w:eastAsia="標楷體" w:hAnsi="標楷體" w:cstheme="minorBidi" w:hint="eastAsia"/>
          <w:kern w:val="2"/>
          <w:sz w:val="28"/>
          <w:szCs w:val="28"/>
        </w:rPr>
        <w:t>被告許玉昭於偵查中自白並已自動繳交全部所得，爰依貪污治罪條例第8條第2項前段「犯第4條至第6條之罪，在偵查中自白，如有所得並自動繳交全部所得財物者，減輕其刑。」之規定，減輕其刑。</w:t>
      </w:r>
      <w:r w:rsidR="00F35A63">
        <w:rPr>
          <w:rFonts w:ascii="標楷體" w:eastAsia="標楷體" w:hAnsi="標楷體" w:cstheme="minorBidi" w:hint="eastAsia"/>
          <w:kern w:val="2"/>
          <w:sz w:val="28"/>
          <w:szCs w:val="28"/>
        </w:rPr>
        <w:t>被告</w:t>
      </w:r>
      <w:r w:rsidR="005B14B0">
        <w:rPr>
          <w:rFonts w:ascii="標楷體" w:eastAsia="標楷體" w:hAnsi="標楷體" w:cstheme="minorBidi" w:hint="eastAsia"/>
          <w:kern w:val="2"/>
          <w:sz w:val="28"/>
          <w:szCs w:val="28"/>
        </w:rPr>
        <w:t>陳翠琴</w:t>
      </w:r>
      <w:r w:rsidR="005B14B0" w:rsidRPr="005B14B0">
        <w:rPr>
          <w:rFonts w:ascii="標楷體" w:eastAsia="標楷體" w:hAnsi="標楷體" w:cstheme="minorBidi" w:hint="eastAsia"/>
          <w:kern w:val="2"/>
          <w:sz w:val="28"/>
          <w:szCs w:val="28"/>
        </w:rPr>
        <w:t>不具公務員身分，仍應以共犯論以非公務員與公務員共同利用職務上機會詐取財物罪，並依刑法第31條第1項但書規定，減輕其刑。另被告陳翠琴業於偵查中自白，且無犯罪所得而不生自動繳交問題，乃依貪污治罪條例第8條第2項前段規定，減輕其刑，並依法遞減之。</w:t>
      </w:r>
      <w:r w:rsidR="00B313FA">
        <w:rPr>
          <w:rFonts w:ascii="標楷體" w:eastAsia="標楷體" w:hAnsi="標楷體" w:cstheme="minorBidi" w:hint="eastAsia"/>
          <w:kern w:val="2"/>
          <w:sz w:val="28"/>
          <w:szCs w:val="28"/>
        </w:rPr>
        <w:t>又被告二人均無情輕法重之情形，並無刑法第59條酌量減輕其刑之適用。</w:t>
      </w:r>
    </w:p>
    <w:p w:rsidR="005B14B0" w:rsidRDefault="005B14B0" w:rsidP="00A572B8">
      <w:pPr>
        <w:suppressAutoHyphens w:val="0"/>
        <w:autoSpaceDN/>
        <w:ind w:left="532" w:hangingChars="190" w:hanging="532"/>
        <w:jc w:val="both"/>
        <w:textAlignment w:val="auto"/>
        <w:rPr>
          <w:rFonts w:ascii="標楷體" w:eastAsia="標楷體" w:hAnsi="標楷體" w:cstheme="minorBidi"/>
          <w:kern w:val="2"/>
          <w:sz w:val="28"/>
          <w:szCs w:val="28"/>
        </w:rPr>
      </w:pPr>
      <w:r>
        <w:rPr>
          <w:rFonts w:ascii="標楷體" w:eastAsia="標楷體" w:hAnsi="標楷體" w:cstheme="minorBidi" w:hint="eastAsia"/>
          <w:kern w:val="2"/>
          <w:sz w:val="28"/>
          <w:szCs w:val="28"/>
        </w:rPr>
        <w:t>三、</w:t>
      </w:r>
      <w:r w:rsidRPr="005B14B0">
        <w:rPr>
          <w:rFonts w:ascii="標楷體" w:eastAsia="標楷體" w:hAnsi="標楷體" w:cstheme="minorBidi" w:hint="eastAsia"/>
          <w:kern w:val="2"/>
          <w:sz w:val="28"/>
          <w:szCs w:val="28"/>
        </w:rPr>
        <w:t>審酌被告許玉昭擔任金門縣議會議員，負責監督金門縣政府及其所屬機關之預算審核，竟以前揭方式與許丕貞、楊許冬蜜及被告陳翠琴向金門縣議會詐領財物，造成公庫損失及破壞人民對公務員廉潔之信賴；以及被告陳翠琴與被告許玉昭共同實行本案犯行之動機、手段、所生危害；兼衡被告二人</w:t>
      </w:r>
      <w:r>
        <w:rPr>
          <w:rFonts w:ascii="標楷體" w:eastAsia="標楷體" w:hAnsi="標楷體" w:cstheme="minorBidi" w:hint="eastAsia"/>
          <w:kern w:val="2"/>
          <w:sz w:val="28"/>
          <w:szCs w:val="28"/>
        </w:rPr>
        <w:t>均無前案紀錄之素行，</w:t>
      </w:r>
      <w:r>
        <w:rPr>
          <w:rFonts w:ascii="標楷體" w:eastAsia="標楷體" w:hAnsi="標楷體" w:cstheme="minorBidi" w:hint="eastAsia"/>
          <w:kern w:val="2"/>
          <w:sz w:val="28"/>
          <w:szCs w:val="28"/>
        </w:rPr>
        <w:lastRenderedPageBreak/>
        <w:t>且於犯後均坦承犯行，深表悔悟，犯後態度尚佳</w:t>
      </w:r>
      <w:r w:rsidRPr="005B14B0">
        <w:rPr>
          <w:rFonts w:ascii="標楷體" w:eastAsia="標楷體" w:hAnsi="標楷體" w:cstheme="minorBidi" w:hint="eastAsia"/>
          <w:kern w:val="2"/>
          <w:sz w:val="28"/>
          <w:szCs w:val="28"/>
        </w:rPr>
        <w:t>等一切情狀，分別量處如主文所示之刑，並衡酌各次犯罪之同質性、犯罪時間之間隔等各項因素，就被告許玉昭部分定其應執行刑如主文第1項所示。</w:t>
      </w:r>
      <w:r w:rsidR="00B313FA">
        <w:rPr>
          <w:rFonts w:ascii="標楷體" w:eastAsia="標楷體" w:hAnsi="標楷體" w:cstheme="minorBidi" w:hint="eastAsia"/>
          <w:kern w:val="2"/>
          <w:sz w:val="28"/>
          <w:szCs w:val="28"/>
        </w:rPr>
        <w:t>另</w:t>
      </w:r>
      <w:r w:rsidRPr="005B14B0">
        <w:rPr>
          <w:rFonts w:ascii="標楷體" w:eastAsia="標楷體" w:hAnsi="標楷體" w:cstheme="minorBidi" w:hint="eastAsia"/>
          <w:kern w:val="2"/>
          <w:sz w:val="28"/>
          <w:szCs w:val="28"/>
        </w:rPr>
        <w:t>依貪污治罪條例第17條、刑法第37條第2項規定，分別</w:t>
      </w:r>
      <w:r>
        <w:rPr>
          <w:rFonts w:ascii="標楷體" w:eastAsia="標楷體" w:hAnsi="標楷體" w:cstheme="minorBidi" w:hint="eastAsia"/>
          <w:kern w:val="2"/>
          <w:sz w:val="28"/>
          <w:szCs w:val="28"/>
        </w:rPr>
        <w:t>對被告</w:t>
      </w:r>
      <w:r w:rsidR="00B313FA">
        <w:rPr>
          <w:rFonts w:ascii="標楷體" w:eastAsia="標楷體" w:hAnsi="標楷體" w:cstheme="minorBidi" w:hint="eastAsia"/>
          <w:kern w:val="2"/>
          <w:sz w:val="28"/>
          <w:szCs w:val="28"/>
        </w:rPr>
        <w:t>二人</w:t>
      </w:r>
      <w:r w:rsidRPr="005B14B0">
        <w:rPr>
          <w:rFonts w:ascii="標楷體" w:eastAsia="標楷體" w:hAnsi="標楷體" w:cstheme="minorBidi" w:hint="eastAsia"/>
          <w:kern w:val="2"/>
          <w:sz w:val="28"/>
          <w:szCs w:val="28"/>
        </w:rPr>
        <w:t>宣告褫奪公權如主文所示，並依刑法第51條第8款規定，就被告許玉昭定其應執行之褫奪公權期間。</w:t>
      </w:r>
    </w:p>
    <w:p w:rsidR="001A71BD" w:rsidRDefault="005B14B0" w:rsidP="00A572B8">
      <w:pPr>
        <w:suppressAutoHyphens w:val="0"/>
        <w:autoSpaceDN/>
        <w:ind w:left="532" w:hangingChars="190" w:hanging="532"/>
        <w:jc w:val="both"/>
        <w:textAlignment w:val="auto"/>
        <w:rPr>
          <w:rFonts w:ascii="標楷體" w:eastAsia="標楷體" w:hAnsi="標楷體" w:cstheme="minorBidi"/>
          <w:kern w:val="2"/>
          <w:sz w:val="28"/>
          <w:szCs w:val="28"/>
        </w:rPr>
      </w:pPr>
      <w:r>
        <w:rPr>
          <w:rFonts w:ascii="標楷體" w:eastAsia="標楷體" w:hAnsi="標楷體" w:cstheme="minorBidi" w:hint="eastAsia"/>
          <w:kern w:val="2"/>
          <w:sz w:val="28"/>
          <w:szCs w:val="28"/>
        </w:rPr>
        <w:t>四、</w:t>
      </w:r>
      <w:r w:rsidRPr="005B14B0">
        <w:rPr>
          <w:rFonts w:ascii="標楷體" w:eastAsia="標楷體" w:hAnsi="標楷體" w:cstheme="minorBidi" w:hint="eastAsia"/>
          <w:kern w:val="2"/>
          <w:sz w:val="28"/>
          <w:szCs w:val="28"/>
        </w:rPr>
        <w:t>公訴意旨</w:t>
      </w:r>
      <w:r w:rsidR="004C1544">
        <w:rPr>
          <w:rFonts w:ascii="標楷體" w:eastAsia="標楷體" w:hAnsi="標楷體" w:cstheme="minorBidi" w:hint="eastAsia"/>
          <w:kern w:val="2"/>
          <w:sz w:val="28"/>
          <w:szCs w:val="28"/>
        </w:rPr>
        <w:t>雖另</w:t>
      </w:r>
      <w:r w:rsidRPr="005B14B0">
        <w:rPr>
          <w:rFonts w:ascii="標楷體" w:eastAsia="標楷體" w:hAnsi="標楷體" w:cstheme="minorBidi" w:hint="eastAsia"/>
          <w:kern w:val="2"/>
          <w:sz w:val="28"/>
          <w:szCs w:val="28"/>
        </w:rPr>
        <w:t>認被告二人均另涉犯修正前、後之洗錢防制法一般洗錢罪，</w:t>
      </w:r>
      <w:r w:rsidR="004C1544">
        <w:rPr>
          <w:rFonts w:ascii="標楷體" w:eastAsia="標楷體" w:hAnsi="標楷體" w:cstheme="minorBidi" w:hint="eastAsia"/>
          <w:kern w:val="2"/>
          <w:sz w:val="28"/>
          <w:szCs w:val="28"/>
        </w:rPr>
        <w:t>惟</w:t>
      </w:r>
      <w:r w:rsidR="004C1544" w:rsidRPr="004C1544">
        <w:rPr>
          <w:rFonts w:ascii="標楷體" w:eastAsia="標楷體" w:hAnsi="標楷體" w:cstheme="minorBidi" w:hint="eastAsia"/>
          <w:kern w:val="2"/>
          <w:sz w:val="28"/>
          <w:szCs w:val="28"/>
        </w:rPr>
        <w:t>被告陳翠琴及另案偵查中之許丕貞、</w:t>
      </w:r>
      <w:r w:rsidR="004C1544">
        <w:rPr>
          <w:rFonts w:ascii="標楷體" w:eastAsia="標楷體" w:hAnsi="標楷體" w:cstheme="minorBidi" w:hint="eastAsia"/>
          <w:kern w:val="2"/>
          <w:sz w:val="28"/>
          <w:szCs w:val="28"/>
        </w:rPr>
        <w:t>許楊冬蜜申設之上開帳戶、提款卡等，雖均交由被告許玉昭管領使用；</w:t>
      </w:r>
      <w:r w:rsidR="004C1544" w:rsidRPr="004C1544">
        <w:rPr>
          <w:rFonts w:ascii="標楷體" w:eastAsia="標楷體" w:hAnsi="標楷體" w:cstheme="minorBidi" w:hint="eastAsia"/>
          <w:kern w:val="2"/>
          <w:sz w:val="28"/>
          <w:szCs w:val="28"/>
        </w:rPr>
        <w:t>衡諸現今一般公部門之薪資發放，均以轉帳匯入金融帳戶方式為之，是被告許玉昭保有上開帳戶資料乃屬其虛報詐領議員助理費之必要不可或缺行為，應非特為隱匿犯罪行為或該資金不法來源或本質目的而為之，主觀上應不具基於為掩飾、隱匿犯罪所得之犯意。再參檢察官認詐取之公費助理補助費用均由被告許玉昭自行或指示不知情之外甥持上開金融帳戶之提款卡等資料提領或轉匯一空，並將款項用於購買茶葉、茶點、伴手禮、防疫用品、收購家戶配酒、老酒、放款予他人、繳納房屋貸款或購置土地及支出商旅整修費用等用途，尚無將款項層層轉匯他人之情形，該部分資金流動過程脈絡清楚透明，不足以製造金流斷點，亦與一般洗</w:t>
      </w:r>
      <w:r w:rsidR="004C1544" w:rsidRPr="004C1544">
        <w:rPr>
          <w:rFonts w:ascii="標楷體" w:eastAsia="標楷體" w:hAnsi="標楷體" w:cstheme="minorBidi" w:hint="eastAsia"/>
          <w:kern w:val="2"/>
          <w:sz w:val="28"/>
          <w:szCs w:val="28"/>
        </w:rPr>
        <w:lastRenderedPageBreak/>
        <w:t>錢罪之本旨迥異，要難以一般洗錢罪責相繩之</w:t>
      </w:r>
      <w:r w:rsidRPr="005B14B0">
        <w:rPr>
          <w:rFonts w:ascii="標楷體" w:eastAsia="標楷體" w:hAnsi="標楷體" w:cstheme="minorBidi" w:hint="eastAsia"/>
          <w:kern w:val="2"/>
          <w:sz w:val="28"/>
          <w:szCs w:val="28"/>
        </w:rPr>
        <w:t>，惟此部分與被告二人前揭有罪部分，均具想像競合犯之裁判上一罪關係，爰皆不另為無罪之諭知。</w:t>
      </w:r>
    </w:p>
    <w:p w:rsidR="00BF5A05" w:rsidRPr="004A634D" w:rsidRDefault="004C1544" w:rsidP="002E2488">
      <w:pPr>
        <w:suppressAutoHyphens w:val="0"/>
        <w:autoSpaceDN/>
        <w:ind w:left="566" w:hangingChars="202" w:hanging="566"/>
        <w:jc w:val="both"/>
        <w:textAlignment w:val="auto"/>
        <w:rPr>
          <w:rFonts w:ascii="標楷體" w:eastAsia="標楷體" w:hAnsi="標楷體" w:cstheme="minorBidi"/>
          <w:kern w:val="2"/>
          <w:sz w:val="28"/>
          <w:szCs w:val="28"/>
        </w:rPr>
      </w:pPr>
      <w:r>
        <w:rPr>
          <w:rFonts w:ascii="標楷體" w:eastAsia="標楷體" w:hAnsi="標楷體" w:cstheme="minorBidi" w:hint="eastAsia"/>
          <w:kern w:val="2"/>
          <w:sz w:val="28"/>
          <w:szCs w:val="28"/>
        </w:rPr>
        <w:t>五</w:t>
      </w:r>
      <w:r w:rsidR="00AF4492">
        <w:rPr>
          <w:rFonts w:ascii="標楷體" w:eastAsia="標楷體" w:hAnsi="標楷體" w:cstheme="minorBidi" w:hint="eastAsia"/>
          <w:kern w:val="2"/>
          <w:sz w:val="28"/>
          <w:szCs w:val="28"/>
        </w:rPr>
        <w:t>、本判決</w:t>
      </w:r>
      <w:r w:rsidR="00BF5A05">
        <w:rPr>
          <w:rFonts w:ascii="標楷體" w:eastAsia="標楷體" w:hAnsi="標楷體" w:cstheme="minorBidi" w:hint="eastAsia"/>
          <w:kern w:val="2"/>
          <w:sz w:val="28"/>
          <w:szCs w:val="28"/>
        </w:rPr>
        <w:t>得</w:t>
      </w:r>
      <w:r w:rsidR="00F20577">
        <w:rPr>
          <w:rFonts w:ascii="標楷體" w:eastAsia="標楷體" w:hAnsi="標楷體" w:cstheme="minorBidi" w:hint="eastAsia"/>
          <w:kern w:val="2"/>
          <w:sz w:val="28"/>
          <w:szCs w:val="28"/>
        </w:rPr>
        <w:t>於</w:t>
      </w:r>
      <w:r w:rsidR="00AF4492">
        <w:rPr>
          <w:rFonts w:ascii="標楷體" w:eastAsia="標楷體" w:hAnsi="標楷體" w:cstheme="minorBidi" w:hint="eastAsia"/>
          <w:kern w:val="2"/>
          <w:sz w:val="28"/>
          <w:szCs w:val="28"/>
        </w:rPr>
        <w:t>2</w:t>
      </w:r>
      <w:r w:rsidR="00F20577">
        <w:rPr>
          <w:rFonts w:ascii="標楷體" w:eastAsia="標楷體" w:hAnsi="標楷體" w:cstheme="minorBidi" w:hint="eastAsia"/>
          <w:kern w:val="2"/>
          <w:sz w:val="28"/>
          <w:szCs w:val="28"/>
        </w:rPr>
        <w:t>0日內</w:t>
      </w:r>
      <w:r w:rsidR="00AF4492">
        <w:rPr>
          <w:rFonts w:ascii="標楷體" w:eastAsia="標楷體" w:hAnsi="標楷體" w:cstheme="minorBidi" w:hint="eastAsia"/>
          <w:kern w:val="2"/>
          <w:sz w:val="28"/>
          <w:szCs w:val="28"/>
        </w:rPr>
        <w:t>提起上訴</w:t>
      </w:r>
      <w:r w:rsidR="00BF5A05">
        <w:rPr>
          <w:rFonts w:ascii="標楷體" w:eastAsia="標楷體" w:hAnsi="標楷體" w:cstheme="minorBidi" w:hint="eastAsia"/>
          <w:kern w:val="2"/>
          <w:sz w:val="28"/>
          <w:szCs w:val="28"/>
        </w:rPr>
        <w:t>。</w:t>
      </w:r>
    </w:p>
    <w:sectPr w:rsidR="00BF5A05" w:rsidRPr="004A634D" w:rsidSect="00113596">
      <w:pgSz w:w="11906" w:h="16838"/>
      <w:pgMar w:top="1440" w:right="1800" w:bottom="1440" w:left="1800"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520A6" w:rsidRDefault="003520A6" w:rsidP="000D3BD6">
      <w:r>
        <w:separator/>
      </w:r>
    </w:p>
  </w:endnote>
  <w:endnote w:type="continuationSeparator" w:id="0">
    <w:p w:rsidR="003520A6" w:rsidRDefault="003520A6" w:rsidP="000D3BD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細明體">
    <w:altName w:val="MingLiU"/>
    <w:panose1 w:val="02020509000000000000"/>
    <w:charset w:val="88"/>
    <w:family w:val="modern"/>
    <w:pitch w:val="fixed"/>
    <w:sig w:usb0="A00002FF" w:usb1="28CFFCFA" w:usb2="00000016" w:usb3="00000000" w:csb0="00100001" w:csb1="00000000"/>
  </w:font>
  <w:font w:name="Courier New">
    <w:panose1 w:val="02070309020205020404"/>
    <w:charset w:val="00"/>
    <w:family w:val="modern"/>
    <w:pitch w:val="fixed"/>
    <w:sig w:usb0="E0002EFF" w:usb1="C0007843" w:usb2="00000009" w:usb3="00000000" w:csb0="000001FF" w:csb1="00000000"/>
  </w:font>
  <w:font w:name="標楷體">
    <w:panose1 w:val="03000509000000000000"/>
    <w:charset w:val="88"/>
    <w:family w:val="script"/>
    <w:pitch w:val="fixed"/>
    <w:sig w:usb0="00000003" w:usb1="080E0000" w:usb2="00000016" w:usb3="00000000" w:csb0="001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520A6" w:rsidRDefault="003520A6" w:rsidP="000D3BD6">
      <w:r>
        <w:separator/>
      </w:r>
    </w:p>
  </w:footnote>
  <w:footnote w:type="continuationSeparator" w:id="0">
    <w:p w:rsidR="003520A6" w:rsidRDefault="003520A6" w:rsidP="000D3BD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CE2056"/>
    <w:multiLevelType w:val="hybridMultilevel"/>
    <w:tmpl w:val="5F3E65F4"/>
    <w:lvl w:ilvl="0" w:tplc="1B0AD59C">
      <w:start w:val="1"/>
      <w:numFmt w:val="taiwaneseCountingThousand"/>
      <w:lvlText w:val="(%1)"/>
      <w:lvlJc w:val="left"/>
      <w:pPr>
        <w:ind w:left="1440" w:hanging="720"/>
      </w:pPr>
      <w:rPr>
        <w:rFonts w:hint="default"/>
      </w:rPr>
    </w:lvl>
    <w:lvl w:ilvl="1" w:tplc="04090019" w:tentative="1">
      <w:start w:val="1"/>
      <w:numFmt w:val="ideographTraditional"/>
      <w:lvlText w:val="%2、"/>
      <w:lvlJc w:val="left"/>
      <w:pPr>
        <w:ind w:left="1680" w:hanging="480"/>
      </w:pPr>
    </w:lvl>
    <w:lvl w:ilvl="2" w:tplc="0409001B" w:tentative="1">
      <w:start w:val="1"/>
      <w:numFmt w:val="lowerRoman"/>
      <w:lvlText w:val="%3."/>
      <w:lvlJc w:val="right"/>
      <w:pPr>
        <w:ind w:left="2160" w:hanging="480"/>
      </w:pPr>
    </w:lvl>
    <w:lvl w:ilvl="3" w:tplc="0409000F" w:tentative="1">
      <w:start w:val="1"/>
      <w:numFmt w:val="decimal"/>
      <w:lvlText w:val="%4."/>
      <w:lvlJc w:val="left"/>
      <w:pPr>
        <w:ind w:left="2640" w:hanging="480"/>
      </w:pPr>
    </w:lvl>
    <w:lvl w:ilvl="4" w:tplc="04090019" w:tentative="1">
      <w:start w:val="1"/>
      <w:numFmt w:val="ideographTraditional"/>
      <w:lvlText w:val="%5、"/>
      <w:lvlJc w:val="left"/>
      <w:pPr>
        <w:ind w:left="3120" w:hanging="480"/>
      </w:pPr>
    </w:lvl>
    <w:lvl w:ilvl="5" w:tplc="0409001B" w:tentative="1">
      <w:start w:val="1"/>
      <w:numFmt w:val="lowerRoman"/>
      <w:lvlText w:val="%6."/>
      <w:lvlJc w:val="right"/>
      <w:pPr>
        <w:ind w:left="3600" w:hanging="480"/>
      </w:pPr>
    </w:lvl>
    <w:lvl w:ilvl="6" w:tplc="0409000F" w:tentative="1">
      <w:start w:val="1"/>
      <w:numFmt w:val="decimal"/>
      <w:lvlText w:val="%7."/>
      <w:lvlJc w:val="left"/>
      <w:pPr>
        <w:ind w:left="4080" w:hanging="480"/>
      </w:pPr>
    </w:lvl>
    <w:lvl w:ilvl="7" w:tplc="04090019" w:tentative="1">
      <w:start w:val="1"/>
      <w:numFmt w:val="ideographTraditional"/>
      <w:lvlText w:val="%8、"/>
      <w:lvlJc w:val="left"/>
      <w:pPr>
        <w:ind w:left="4560" w:hanging="480"/>
      </w:pPr>
    </w:lvl>
    <w:lvl w:ilvl="8" w:tplc="0409001B" w:tentative="1">
      <w:start w:val="1"/>
      <w:numFmt w:val="lowerRoman"/>
      <w:lvlText w:val="%9."/>
      <w:lvlJc w:val="right"/>
      <w:pPr>
        <w:ind w:left="5040" w:hanging="480"/>
      </w:pPr>
    </w:lvl>
  </w:abstractNum>
  <w:abstractNum w:abstractNumId="1" w15:restartNumberingAfterBreak="0">
    <w:nsid w:val="1A8E76C7"/>
    <w:multiLevelType w:val="hybridMultilevel"/>
    <w:tmpl w:val="19D6A10C"/>
    <w:lvl w:ilvl="0" w:tplc="036C82EC">
      <w:start w:val="1"/>
      <w:numFmt w:val="decimalEnclosedParen"/>
      <w:lvlText w:val="%1"/>
      <w:lvlJc w:val="left"/>
      <w:pPr>
        <w:ind w:left="927" w:hanging="360"/>
      </w:pPr>
      <w:rPr>
        <w:rFonts w:ascii="新細明體" w:eastAsia="新細明體" w:hAnsi="新細明體" w:cs="Times New Roman" w:hint="default"/>
        <w:color w:val="auto"/>
      </w:rPr>
    </w:lvl>
    <w:lvl w:ilvl="1" w:tplc="04090019" w:tentative="1">
      <w:start w:val="1"/>
      <w:numFmt w:val="ideographTraditional"/>
      <w:lvlText w:val="%2、"/>
      <w:lvlJc w:val="left"/>
      <w:pPr>
        <w:ind w:left="1527" w:hanging="480"/>
      </w:pPr>
    </w:lvl>
    <w:lvl w:ilvl="2" w:tplc="0409001B" w:tentative="1">
      <w:start w:val="1"/>
      <w:numFmt w:val="lowerRoman"/>
      <w:lvlText w:val="%3."/>
      <w:lvlJc w:val="right"/>
      <w:pPr>
        <w:ind w:left="2007" w:hanging="480"/>
      </w:pPr>
    </w:lvl>
    <w:lvl w:ilvl="3" w:tplc="0409000F" w:tentative="1">
      <w:start w:val="1"/>
      <w:numFmt w:val="decimal"/>
      <w:lvlText w:val="%4."/>
      <w:lvlJc w:val="left"/>
      <w:pPr>
        <w:ind w:left="2487" w:hanging="480"/>
      </w:pPr>
    </w:lvl>
    <w:lvl w:ilvl="4" w:tplc="04090019" w:tentative="1">
      <w:start w:val="1"/>
      <w:numFmt w:val="ideographTraditional"/>
      <w:lvlText w:val="%5、"/>
      <w:lvlJc w:val="left"/>
      <w:pPr>
        <w:ind w:left="2967" w:hanging="480"/>
      </w:pPr>
    </w:lvl>
    <w:lvl w:ilvl="5" w:tplc="0409001B" w:tentative="1">
      <w:start w:val="1"/>
      <w:numFmt w:val="lowerRoman"/>
      <w:lvlText w:val="%6."/>
      <w:lvlJc w:val="right"/>
      <w:pPr>
        <w:ind w:left="3447" w:hanging="480"/>
      </w:pPr>
    </w:lvl>
    <w:lvl w:ilvl="6" w:tplc="0409000F" w:tentative="1">
      <w:start w:val="1"/>
      <w:numFmt w:val="decimal"/>
      <w:lvlText w:val="%7."/>
      <w:lvlJc w:val="left"/>
      <w:pPr>
        <w:ind w:left="3927" w:hanging="480"/>
      </w:pPr>
    </w:lvl>
    <w:lvl w:ilvl="7" w:tplc="04090019" w:tentative="1">
      <w:start w:val="1"/>
      <w:numFmt w:val="ideographTraditional"/>
      <w:lvlText w:val="%8、"/>
      <w:lvlJc w:val="left"/>
      <w:pPr>
        <w:ind w:left="4407" w:hanging="480"/>
      </w:pPr>
    </w:lvl>
    <w:lvl w:ilvl="8" w:tplc="0409001B" w:tentative="1">
      <w:start w:val="1"/>
      <w:numFmt w:val="lowerRoman"/>
      <w:lvlText w:val="%9."/>
      <w:lvlJc w:val="right"/>
      <w:pPr>
        <w:ind w:left="4887" w:hanging="480"/>
      </w:pPr>
    </w:lvl>
  </w:abstractNum>
  <w:abstractNum w:abstractNumId="2" w15:restartNumberingAfterBreak="0">
    <w:nsid w:val="2FA33E10"/>
    <w:multiLevelType w:val="hybridMultilevel"/>
    <w:tmpl w:val="ECAE89E4"/>
    <w:lvl w:ilvl="0" w:tplc="F7B8FB0E">
      <w:start w:val="1"/>
      <w:numFmt w:val="taiwaneseCountingThousand"/>
      <w:lvlText w:val="(%1)"/>
      <w:lvlJc w:val="left"/>
      <w:pPr>
        <w:ind w:left="1080" w:hanging="600"/>
      </w:pPr>
      <w:rPr>
        <w:rFonts w:hint="default"/>
        <w:b/>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3" w15:restartNumberingAfterBreak="0">
    <w:nsid w:val="495E50F4"/>
    <w:multiLevelType w:val="hybridMultilevel"/>
    <w:tmpl w:val="76286BB0"/>
    <w:lvl w:ilvl="0" w:tplc="8A3EDB30">
      <w:start w:val="1"/>
      <w:numFmt w:val="taiwaneseCountingThousand"/>
      <w:lvlText w:val="%1、"/>
      <w:lvlJc w:val="left"/>
      <w:pPr>
        <w:ind w:left="720" w:hanging="7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 w15:restartNumberingAfterBreak="0">
    <w:nsid w:val="4A056886"/>
    <w:multiLevelType w:val="hybridMultilevel"/>
    <w:tmpl w:val="90822D22"/>
    <w:lvl w:ilvl="0" w:tplc="F346551C">
      <w:start w:val="1"/>
      <w:numFmt w:val="taiwaneseCountingThousand"/>
      <w:lvlText w:val="%1、"/>
      <w:lvlJc w:val="left"/>
      <w:pPr>
        <w:ind w:left="720" w:hanging="7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 w15:restartNumberingAfterBreak="0">
    <w:nsid w:val="76F67B10"/>
    <w:multiLevelType w:val="hybridMultilevel"/>
    <w:tmpl w:val="47E6B666"/>
    <w:lvl w:ilvl="0" w:tplc="12387606">
      <w:start w:val="1"/>
      <w:numFmt w:val="taiwaneseCountingThousand"/>
      <w:lvlText w:val="%1、"/>
      <w:lvlJc w:val="left"/>
      <w:pPr>
        <w:ind w:left="720" w:hanging="720"/>
      </w:pPr>
      <w:rPr>
        <w:rFonts w:hint="default"/>
        <w:lang w:val="en-US"/>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 w15:restartNumberingAfterBreak="0">
    <w:nsid w:val="7AAB3F57"/>
    <w:multiLevelType w:val="hybridMultilevel"/>
    <w:tmpl w:val="3E62AE5C"/>
    <w:lvl w:ilvl="0" w:tplc="C4D0001A">
      <w:start w:val="1"/>
      <w:numFmt w:val="taiwaneseCountingThousand"/>
      <w:lvlText w:val="%1、"/>
      <w:lvlJc w:val="left"/>
      <w:pPr>
        <w:ind w:left="720" w:hanging="720"/>
      </w:pPr>
      <w:rPr>
        <w:rFonts w:hint="default"/>
        <w:b/>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num w:numId="1">
    <w:abstractNumId w:val="2"/>
  </w:num>
  <w:num w:numId="2">
    <w:abstractNumId w:val="6"/>
  </w:num>
  <w:num w:numId="3">
    <w:abstractNumId w:val="4"/>
  </w:num>
  <w:num w:numId="4">
    <w:abstractNumId w:val="1"/>
  </w:num>
  <w:num w:numId="5">
    <w:abstractNumId w:val="3"/>
  </w:num>
  <w:num w:numId="6">
    <w:abstractNumId w:val="5"/>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bordersDoNotSurroundHeader/>
  <w:bordersDoNotSurroundFooter/>
  <w:attachedTemplate r:id="rId1"/>
  <w:defaultTabStop w:val="480"/>
  <w:drawingGridHorizontalSpacing w:val="120"/>
  <w:displayHorizontalDrawingGridEvery w:val="0"/>
  <w:displayVerticalDrawingGridEvery w:val="2"/>
  <w:characterSpacingControl w:val="compressPunctuation"/>
  <w:hdrShapeDefaults>
    <o:shapedefaults v:ext="edit" spidmax="1228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C2C17"/>
    <w:rsid w:val="00021A96"/>
    <w:rsid w:val="00027E45"/>
    <w:rsid w:val="000307F2"/>
    <w:rsid w:val="000451F6"/>
    <w:rsid w:val="000864C9"/>
    <w:rsid w:val="000A4E01"/>
    <w:rsid w:val="000C3AF1"/>
    <w:rsid w:val="000D3BD6"/>
    <w:rsid w:val="000E2EB2"/>
    <w:rsid w:val="0010045A"/>
    <w:rsid w:val="0011216E"/>
    <w:rsid w:val="00113596"/>
    <w:rsid w:val="00123BA4"/>
    <w:rsid w:val="00127ABC"/>
    <w:rsid w:val="00133445"/>
    <w:rsid w:val="001403F1"/>
    <w:rsid w:val="00152C76"/>
    <w:rsid w:val="001615D7"/>
    <w:rsid w:val="00161B49"/>
    <w:rsid w:val="00183D59"/>
    <w:rsid w:val="0018528D"/>
    <w:rsid w:val="00186734"/>
    <w:rsid w:val="001A71BD"/>
    <w:rsid w:val="001B0EB7"/>
    <w:rsid w:val="001B5E8E"/>
    <w:rsid w:val="001D0F23"/>
    <w:rsid w:val="001D5D4C"/>
    <w:rsid w:val="002234F1"/>
    <w:rsid w:val="00271ABD"/>
    <w:rsid w:val="00276898"/>
    <w:rsid w:val="00277547"/>
    <w:rsid w:val="002D0A89"/>
    <w:rsid w:val="002E2488"/>
    <w:rsid w:val="003005B0"/>
    <w:rsid w:val="003162AA"/>
    <w:rsid w:val="00317CD4"/>
    <w:rsid w:val="00335AE4"/>
    <w:rsid w:val="003374CE"/>
    <w:rsid w:val="003520A6"/>
    <w:rsid w:val="0035733F"/>
    <w:rsid w:val="003720A8"/>
    <w:rsid w:val="003B0DC6"/>
    <w:rsid w:val="003E2EA6"/>
    <w:rsid w:val="003E6821"/>
    <w:rsid w:val="004070FA"/>
    <w:rsid w:val="00430FE0"/>
    <w:rsid w:val="00485D90"/>
    <w:rsid w:val="004A634D"/>
    <w:rsid w:val="004B3E39"/>
    <w:rsid w:val="004C1544"/>
    <w:rsid w:val="004C56DD"/>
    <w:rsid w:val="005108F3"/>
    <w:rsid w:val="00511910"/>
    <w:rsid w:val="005350A5"/>
    <w:rsid w:val="005429BC"/>
    <w:rsid w:val="00594093"/>
    <w:rsid w:val="005A4635"/>
    <w:rsid w:val="005A72C8"/>
    <w:rsid w:val="005B14B0"/>
    <w:rsid w:val="00610F1E"/>
    <w:rsid w:val="00636447"/>
    <w:rsid w:val="00642683"/>
    <w:rsid w:val="00670C2E"/>
    <w:rsid w:val="006A4CB7"/>
    <w:rsid w:val="006C0286"/>
    <w:rsid w:val="006C051D"/>
    <w:rsid w:val="00712155"/>
    <w:rsid w:val="00742C8D"/>
    <w:rsid w:val="00773CC5"/>
    <w:rsid w:val="007845A7"/>
    <w:rsid w:val="007A103D"/>
    <w:rsid w:val="007A371F"/>
    <w:rsid w:val="007B001A"/>
    <w:rsid w:val="008225DB"/>
    <w:rsid w:val="008306B6"/>
    <w:rsid w:val="008449CA"/>
    <w:rsid w:val="00866BAE"/>
    <w:rsid w:val="0089450C"/>
    <w:rsid w:val="009009F1"/>
    <w:rsid w:val="00950F45"/>
    <w:rsid w:val="00952F08"/>
    <w:rsid w:val="0096727E"/>
    <w:rsid w:val="00975218"/>
    <w:rsid w:val="00981BFC"/>
    <w:rsid w:val="00983D0E"/>
    <w:rsid w:val="009B0E7D"/>
    <w:rsid w:val="009E148C"/>
    <w:rsid w:val="009F4060"/>
    <w:rsid w:val="00A15689"/>
    <w:rsid w:val="00A17A50"/>
    <w:rsid w:val="00A42066"/>
    <w:rsid w:val="00A4397F"/>
    <w:rsid w:val="00A572B8"/>
    <w:rsid w:val="00A6480F"/>
    <w:rsid w:val="00A76ACA"/>
    <w:rsid w:val="00A77B5F"/>
    <w:rsid w:val="00A80883"/>
    <w:rsid w:val="00A83E01"/>
    <w:rsid w:val="00AE2C89"/>
    <w:rsid w:val="00AF4492"/>
    <w:rsid w:val="00B03BE4"/>
    <w:rsid w:val="00B313FA"/>
    <w:rsid w:val="00B43E69"/>
    <w:rsid w:val="00B64866"/>
    <w:rsid w:val="00BA76DE"/>
    <w:rsid w:val="00BC4A77"/>
    <w:rsid w:val="00BD556A"/>
    <w:rsid w:val="00BF5A05"/>
    <w:rsid w:val="00C06941"/>
    <w:rsid w:val="00C144DF"/>
    <w:rsid w:val="00C57102"/>
    <w:rsid w:val="00C64A2A"/>
    <w:rsid w:val="00C65BA0"/>
    <w:rsid w:val="00C775B5"/>
    <w:rsid w:val="00C80A5E"/>
    <w:rsid w:val="00C95533"/>
    <w:rsid w:val="00CD539B"/>
    <w:rsid w:val="00CD66C9"/>
    <w:rsid w:val="00D65451"/>
    <w:rsid w:val="00D90E92"/>
    <w:rsid w:val="00E55485"/>
    <w:rsid w:val="00E67145"/>
    <w:rsid w:val="00E754CE"/>
    <w:rsid w:val="00E8569F"/>
    <w:rsid w:val="00E90CDC"/>
    <w:rsid w:val="00EA03BE"/>
    <w:rsid w:val="00EB4E1A"/>
    <w:rsid w:val="00EB53BD"/>
    <w:rsid w:val="00EC449D"/>
    <w:rsid w:val="00ED1DFD"/>
    <w:rsid w:val="00ED4A5E"/>
    <w:rsid w:val="00ED646D"/>
    <w:rsid w:val="00F12650"/>
    <w:rsid w:val="00F20577"/>
    <w:rsid w:val="00F20D1A"/>
    <w:rsid w:val="00F35A63"/>
    <w:rsid w:val="00F6734A"/>
    <w:rsid w:val="00F7558B"/>
    <w:rsid w:val="00FA413D"/>
    <w:rsid w:val="00FC2C17"/>
    <w:rsid w:val="00FD4BA0"/>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5:chartTrackingRefBased/>
  <w15:docId w15:val="{D94F66CE-27AD-4509-BE22-19A2B270E3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F7558B"/>
    <w:pPr>
      <w:widowControl w:val="0"/>
      <w:suppressAutoHyphens/>
      <w:autoSpaceDN w:val="0"/>
      <w:textAlignment w:val="baseline"/>
    </w:pPr>
    <w:rPr>
      <w:rFonts w:ascii="Times New Roman" w:eastAsia="新細明體" w:hAnsi="Times New Roman" w:cs="Times New Roman"/>
      <w:kern w:val="3"/>
      <w:szCs w:val="24"/>
    </w:rPr>
  </w:style>
  <w:style w:type="paragraph" w:styleId="2">
    <w:name w:val="heading 2"/>
    <w:basedOn w:val="a"/>
    <w:link w:val="20"/>
    <w:uiPriority w:val="9"/>
    <w:qFormat/>
    <w:rsid w:val="00BC4A77"/>
    <w:pPr>
      <w:widowControl/>
      <w:suppressAutoHyphens w:val="0"/>
      <w:autoSpaceDN/>
      <w:spacing w:before="100" w:beforeAutospacing="1" w:after="100" w:afterAutospacing="1"/>
      <w:textAlignment w:val="auto"/>
      <w:outlineLvl w:val="1"/>
    </w:pPr>
    <w:rPr>
      <w:rFonts w:ascii="新細明體" w:hAnsi="新細明體" w:cs="新細明體"/>
      <w:b/>
      <w:bCs/>
      <w:kern w:val="0"/>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F7558B"/>
    <w:rPr>
      <w:b/>
      <w:bCs/>
    </w:rPr>
  </w:style>
  <w:style w:type="paragraph" w:styleId="Web">
    <w:name w:val="Normal (Web)"/>
    <w:basedOn w:val="a"/>
    <w:uiPriority w:val="99"/>
    <w:semiHidden/>
    <w:unhideWhenUsed/>
    <w:rsid w:val="00F7558B"/>
    <w:pPr>
      <w:widowControl/>
      <w:suppressAutoHyphens w:val="0"/>
      <w:autoSpaceDN/>
      <w:spacing w:before="100" w:beforeAutospacing="1" w:after="100" w:afterAutospacing="1"/>
      <w:textAlignment w:val="auto"/>
    </w:pPr>
    <w:rPr>
      <w:rFonts w:ascii="新細明體" w:hAnsi="新細明體" w:cs="新細明體"/>
      <w:kern w:val="0"/>
    </w:rPr>
  </w:style>
  <w:style w:type="paragraph" w:styleId="a4">
    <w:name w:val="List Paragraph"/>
    <w:basedOn w:val="a"/>
    <w:uiPriority w:val="34"/>
    <w:qFormat/>
    <w:rsid w:val="00ED4A5E"/>
    <w:pPr>
      <w:ind w:leftChars="200" w:left="480"/>
    </w:pPr>
  </w:style>
  <w:style w:type="paragraph" w:styleId="a5">
    <w:name w:val="Balloon Text"/>
    <w:basedOn w:val="a"/>
    <w:link w:val="a6"/>
    <w:uiPriority w:val="99"/>
    <w:semiHidden/>
    <w:unhideWhenUsed/>
    <w:rsid w:val="00A76ACA"/>
    <w:rPr>
      <w:rFonts w:asciiTheme="majorHAnsi" w:eastAsiaTheme="majorEastAsia" w:hAnsiTheme="majorHAnsi" w:cstheme="majorBidi"/>
      <w:sz w:val="18"/>
      <w:szCs w:val="18"/>
    </w:rPr>
  </w:style>
  <w:style w:type="character" w:customStyle="1" w:styleId="a6">
    <w:name w:val="註解方塊文字 字元"/>
    <w:basedOn w:val="a0"/>
    <w:link w:val="a5"/>
    <w:uiPriority w:val="99"/>
    <w:semiHidden/>
    <w:rsid w:val="00A76ACA"/>
    <w:rPr>
      <w:rFonts w:asciiTheme="majorHAnsi" w:eastAsiaTheme="majorEastAsia" w:hAnsiTheme="majorHAnsi" w:cstheme="majorBidi"/>
      <w:kern w:val="3"/>
      <w:sz w:val="18"/>
      <w:szCs w:val="18"/>
    </w:rPr>
  </w:style>
  <w:style w:type="paragraph" w:styleId="a7">
    <w:name w:val="header"/>
    <w:basedOn w:val="a"/>
    <w:link w:val="a8"/>
    <w:uiPriority w:val="99"/>
    <w:unhideWhenUsed/>
    <w:rsid w:val="000D3BD6"/>
    <w:pPr>
      <w:tabs>
        <w:tab w:val="center" w:pos="4153"/>
        <w:tab w:val="right" w:pos="8306"/>
      </w:tabs>
      <w:snapToGrid w:val="0"/>
    </w:pPr>
    <w:rPr>
      <w:sz w:val="20"/>
      <w:szCs w:val="20"/>
    </w:rPr>
  </w:style>
  <w:style w:type="character" w:customStyle="1" w:styleId="a8">
    <w:name w:val="頁首 字元"/>
    <w:basedOn w:val="a0"/>
    <w:link w:val="a7"/>
    <w:uiPriority w:val="99"/>
    <w:rsid w:val="000D3BD6"/>
    <w:rPr>
      <w:rFonts w:ascii="Times New Roman" w:eastAsia="新細明體" w:hAnsi="Times New Roman" w:cs="Times New Roman"/>
      <w:kern w:val="3"/>
      <w:sz w:val="20"/>
      <w:szCs w:val="20"/>
    </w:rPr>
  </w:style>
  <w:style w:type="paragraph" w:styleId="a9">
    <w:name w:val="footer"/>
    <w:basedOn w:val="a"/>
    <w:link w:val="aa"/>
    <w:uiPriority w:val="99"/>
    <w:unhideWhenUsed/>
    <w:rsid w:val="000D3BD6"/>
    <w:pPr>
      <w:tabs>
        <w:tab w:val="center" w:pos="4153"/>
        <w:tab w:val="right" w:pos="8306"/>
      </w:tabs>
      <w:snapToGrid w:val="0"/>
    </w:pPr>
    <w:rPr>
      <w:sz w:val="20"/>
      <w:szCs w:val="20"/>
    </w:rPr>
  </w:style>
  <w:style w:type="character" w:customStyle="1" w:styleId="aa">
    <w:name w:val="頁尾 字元"/>
    <w:basedOn w:val="a0"/>
    <w:link w:val="a9"/>
    <w:uiPriority w:val="99"/>
    <w:rsid w:val="000D3BD6"/>
    <w:rPr>
      <w:rFonts w:ascii="Times New Roman" w:eastAsia="新細明體" w:hAnsi="Times New Roman" w:cs="Times New Roman"/>
      <w:kern w:val="3"/>
      <w:sz w:val="20"/>
      <w:szCs w:val="20"/>
    </w:rPr>
  </w:style>
  <w:style w:type="table" w:styleId="ab">
    <w:name w:val="Table Grid"/>
    <w:basedOn w:val="a1"/>
    <w:uiPriority w:val="39"/>
    <w:rsid w:val="00A83E0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0">
    <w:name w:val="標題 2 字元"/>
    <w:basedOn w:val="a0"/>
    <w:link w:val="2"/>
    <w:uiPriority w:val="9"/>
    <w:rsid w:val="00BC4A77"/>
    <w:rPr>
      <w:rFonts w:ascii="新細明體" w:eastAsia="新細明體" w:hAnsi="新細明體" w:cs="新細明體"/>
      <w:b/>
      <w:bCs/>
      <w:kern w:val="0"/>
      <w:sz w:val="36"/>
      <w:szCs w:val="36"/>
    </w:rPr>
  </w:style>
  <w:style w:type="paragraph" w:styleId="ac">
    <w:name w:val="Plain Text"/>
    <w:basedOn w:val="a"/>
    <w:link w:val="ad"/>
    <w:uiPriority w:val="99"/>
    <w:semiHidden/>
    <w:unhideWhenUsed/>
    <w:rsid w:val="002E2488"/>
    <w:rPr>
      <w:rFonts w:ascii="細明體" w:eastAsia="細明體" w:hAnsi="Courier New" w:cs="Courier New"/>
    </w:rPr>
  </w:style>
  <w:style w:type="character" w:customStyle="1" w:styleId="ad">
    <w:name w:val="純文字 字元"/>
    <w:basedOn w:val="a0"/>
    <w:link w:val="ac"/>
    <w:uiPriority w:val="99"/>
    <w:semiHidden/>
    <w:rsid w:val="002E2488"/>
    <w:rPr>
      <w:rFonts w:ascii="細明體" w:eastAsia="細明體" w:hAnsi="Courier New" w:cs="Courier New"/>
      <w:kern w:val="3"/>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6480909">
      <w:bodyDiv w:val="1"/>
      <w:marLeft w:val="0"/>
      <w:marRight w:val="0"/>
      <w:marTop w:val="0"/>
      <w:marBottom w:val="0"/>
      <w:divBdr>
        <w:top w:val="none" w:sz="0" w:space="0" w:color="auto"/>
        <w:left w:val="none" w:sz="0" w:space="0" w:color="auto"/>
        <w:bottom w:val="none" w:sz="0" w:space="0" w:color="auto"/>
        <w:right w:val="none" w:sz="0" w:space="0" w:color="auto"/>
      </w:divBdr>
    </w:div>
    <w:div w:id="411395454">
      <w:bodyDiv w:val="1"/>
      <w:marLeft w:val="0"/>
      <w:marRight w:val="0"/>
      <w:marTop w:val="0"/>
      <w:marBottom w:val="0"/>
      <w:divBdr>
        <w:top w:val="none" w:sz="0" w:space="0" w:color="auto"/>
        <w:left w:val="none" w:sz="0" w:space="0" w:color="auto"/>
        <w:bottom w:val="none" w:sz="0" w:space="0" w:color="auto"/>
        <w:right w:val="none" w:sz="0" w:space="0" w:color="auto"/>
      </w:divBdr>
      <w:divsChild>
        <w:div w:id="2021811026">
          <w:marLeft w:val="0"/>
          <w:marRight w:val="0"/>
          <w:marTop w:val="0"/>
          <w:marBottom w:val="0"/>
          <w:divBdr>
            <w:top w:val="none" w:sz="0" w:space="0" w:color="auto"/>
            <w:left w:val="none" w:sz="0" w:space="0" w:color="auto"/>
            <w:bottom w:val="none" w:sz="0" w:space="0" w:color="auto"/>
            <w:right w:val="none" w:sz="0" w:space="0" w:color="auto"/>
          </w:divBdr>
        </w:div>
        <w:div w:id="1560088202">
          <w:marLeft w:val="0"/>
          <w:marRight w:val="0"/>
          <w:marTop w:val="0"/>
          <w:marBottom w:val="0"/>
          <w:divBdr>
            <w:top w:val="none" w:sz="0" w:space="0" w:color="auto"/>
            <w:left w:val="none" w:sz="0" w:space="0" w:color="auto"/>
            <w:bottom w:val="none" w:sz="0" w:space="0" w:color="auto"/>
            <w:right w:val="none" w:sz="0" w:space="0" w:color="auto"/>
          </w:divBdr>
        </w:div>
        <w:div w:id="1493567301">
          <w:marLeft w:val="0"/>
          <w:marRight w:val="0"/>
          <w:marTop w:val="0"/>
          <w:marBottom w:val="0"/>
          <w:divBdr>
            <w:top w:val="none" w:sz="0" w:space="0" w:color="auto"/>
            <w:left w:val="none" w:sz="0" w:space="0" w:color="auto"/>
            <w:bottom w:val="none" w:sz="0" w:space="0" w:color="auto"/>
            <w:right w:val="none" w:sz="0" w:space="0" w:color="auto"/>
          </w:divBdr>
        </w:div>
        <w:div w:id="2131974721">
          <w:marLeft w:val="0"/>
          <w:marRight w:val="0"/>
          <w:marTop w:val="0"/>
          <w:marBottom w:val="0"/>
          <w:divBdr>
            <w:top w:val="none" w:sz="0" w:space="0" w:color="auto"/>
            <w:left w:val="none" w:sz="0" w:space="0" w:color="auto"/>
            <w:bottom w:val="none" w:sz="0" w:space="0" w:color="auto"/>
            <w:right w:val="none" w:sz="0" w:space="0" w:color="auto"/>
          </w:divBdr>
        </w:div>
      </w:divsChild>
    </w:div>
    <w:div w:id="426928326">
      <w:bodyDiv w:val="1"/>
      <w:marLeft w:val="0"/>
      <w:marRight w:val="0"/>
      <w:marTop w:val="0"/>
      <w:marBottom w:val="0"/>
      <w:divBdr>
        <w:top w:val="none" w:sz="0" w:space="0" w:color="auto"/>
        <w:left w:val="none" w:sz="0" w:space="0" w:color="auto"/>
        <w:bottom w:val="none" w:sz="0" w:space="0" w:color="auto"/>
        <w:right w:val="none" w:sz="0" w:space="0" w:color="auto"/>
      </w:divBdr>
    </w:div>
    <w:div w:id="1073821351">
      <w:bodyDiv w:val="1"/>
      <w:marLeft w:val="0"/>
      <w:marRight w:val="0"/>
      <w:marTop w:val="0"/>
      <w:marBottom w:val="0"/>
      <w:divBdr>
        <w:top w:val="none" w:sz="0" w:space="0" w:color="auto"/>
        <w:left w:val="none" w:sz="0" w:space="0" w:color="auto"/>
        <w:bottom w:val="none" w:sz="0" w:space="0" w:color="auto"/>
        <w:right w:val="none" w:sz="0" w:space="0" w:color="auto"/>
      </w:divBdr>
    </w:div>
    <w:div w:id="1182669514">
      <w:bodyDiv w:val="1"/>
      <w:marLeft w:val="0"/>
      <w:marRight w:val="0"/>
      <w:marTop w:val="0"/>
      <w:marBottom w:val="0"/>
      <w:divBdr>
        <w:top w:val="none" w:sz="0" w:space="0" w:color="auto"/>
        <w:left w:val="none" w:sz="0" w:space="0" w:color="auto"/>
        <w:bottom w:val="none" w:sz="0" w:space="0" w:color="auto"/>
        <w:right w:val="none" w:sz="0" w:space="0" w:color="auto"/>
      </w:divBdr>
      <w:divsChild>
        <w:div w:id="1339887992">
          <w:marLeft w:val="0"/>
          <w:marRight w:val="0"/>
          <w:marTop w:val="0"/>
          <w:marBottom w:val="0"/>
          <w:divBdr>
            <w:top w:val="none" w:sz="0" w:space="0" w:color="auto"/>
            <w:left w:val="none" w:sz="0" w:space="0" w:color="auto"/>
            <w:bottom w:val="none" w:sz="0" w:space="0" w:color="auto"/>
            <w:right w:val="none" w:sz="0" w:space="0" w:color="auto"/>
          </w:divBdr>
        </w:div>
        <w:div w:id="899901492">
          <w:marLeft w:val="0"/>
          <w:marRight w:val="0"/>
          <w:marTop w:val="0"/>
          <w:marBottom w:val="0"/>
          <w:divBdr>
            <w:top w:val="none" w:sz="0" w:space="0" w:color="auto"/>
            <w:left w:val="none" w:sz="0" w:space="0" w:color="auto"/>
            <w:bottom w:val="none" w:sz="0" w:space="0" w:color="auto"/>
            <w:right w:val="none" w:sz="0" w:space="0" w:color="auto"/>
          </w:divBdr>
        </w:div>
      </w:divsChild>
    </w:div>
    <w:div w:id="1479612654">
      <w:bodyDiv w:val="1"/>
      <w:marLeft w:val="0"/>
      <w:marRight w:val="0"/>
      <w:marTop w:val="0"/>
      <w:marBottom w:val="0"/>
      <w:divBdr>
        <w:top w:val="none" w:sz="0" w:space="0" w:color="auto"/>
        <w:left w:val="none" w:sz="0" w:space="0" w:color="auto"/>
        <w:bottom w:val="none" w:sz="0" w:space="0" w:color="auto"/>
        <w:right w:val="none" w:sz="0" w:space="0" w:color="auto"/>
      </w:divBdr>
    </w:div>
    <w:div w:id="1586306759">
      <w:bodyDiv w:val="1"/>
      <w:marLeft w:val="0"/>
      <w:marRight w:val="0"/>
      <w:marTop w:val="0"/>
      <w:marBottom w:val="0"/>
      <w:divBdr>
        <w:top w:val="none" w:sz="0" w:space="0" w:color="auto"/>
        <w:left w:val="none" w:sz="0" w:space="0" w:color="auto"/>
        <w:bottom w:val="none" w:sz="0" w:space="0" w:color="auto"/>
        <w:right w:val="none" w:sz="0" w:space="0" w:color="auto"/>
      </w:divBdr>
      <w:divsChild>
        <w:div w:id="719860392">
          <w:marLeft w:val="0"/>
          <w:marRight w:val="0"/>
          <w:marTop w:val="0"/>
          <w:marBottom w:val="0"/>
          <w:divBdr>
            <w:top w:val="none" w:sz="0" w:space="0" w:color="auto"/>
            <w:left w:val="none" w:sz="0" w:space="0" w:color="auto"/>
            <w:bottom w:val="none" w:sz="0" w:space="0" w:color="auto"/>
            <w:right w:val="none" w:sz="0" w:space="0" w:color="auto"/>
          </w:divBdr>
        </w:div>
      </w:divsChild>
    </w:div>
    <w:div w:id="1590848161">
      <w:bodyDiv w:val="1"/>
      <w:marLeft w:val="0"/>
      <w:marRight w:val="0"/>
      <w:marTop w:val="0"/>
      <w:marBottom w:val="0"/>
      <w:divBdr>
        <w:top w:val="none" w:sz="0" w:space="0" w:color="auto"/>
        <w:left w:val="none" w:sz="0" w:space="0" w:color="auto"/>
        <w:bottom w:val="none" w:sz="0" w:space="0" w:color="auto"/>
        <w:right w:val="none" w:sz="0" w:space="0" w:color="auto"/>
      </w:divBdr>
      <w:divsChild>
        <w:div w:id="1318151561">
          <w:marLeft w:val="0"/>
          <w:marRight w:val="0"/>
          <w:marTop w:val="0"/>
          <w:marBottom w:val="0"/>
          <w:divBdr>
            <w:top w:val="none" w:sz="0" w:space="0" w:color="auto"/>
            <w:left w:val="none" w:sz="0" w:space="0" w:color="auto"/>
            <w:bottom w:val="none" w:sz="0" w:space="0" w:color="auto"/>
            <w:right w:val="none" w:sz="0" w:space="0" w:color="auto"/>
          </w:divBdr>
        </w:div>
        <w:div w:id="130469730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dministrator\Downloads\&#38515;&#25239;&#28548;&#28165;&#26032;&#32862;&#31295;&#32178;&#31449;.dotx" TargetMode="Externa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030BFE9-84D5-4710-9E31-E132A24592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陳抗澄清新聞稿網站.dotx</Template>
  <TotalTime>36</TotalTime>
  <Pages>6</Pages>
  <Words>386</Words>
  <Characters>2206</Characters>
  <Application>Microsoft Office Word</Application>
  <DocSecurity>0</DocSecurity>
  <Lines>18</Lines>
  <Paragraphs>5</Paragraphs>
  <ScaleCrop>false</ScaleCrop>
  <Company/>
  <LinksUpToDate>false</LinksUpToDate>
  <CharactersWithSpaces>2587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kmd</dc:creator>
  <cp:keywords/>
  <dc:description/>
  <cp:lastModifiedBy>黃建都</cp:lastModifiedBy>
  <cp:revision>8</cp:revision>
  <cp:lastPrinted>2025-08-19T06:28:00Z</cp:lastPrinted>
  <dcterms:created xsi:type="dcterms:W3CDTF">2025-08-19T05:16:00Z</dcterms:created>
  <dcterms:modified xsi:type="dcterms:W3CDTF">2025-08-19T06:43:00Z</dcterms:modified>
</cp:coreProperties>
</file>