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20D8" w:rsidRDefault="005F20D8" w:rsidP="00D23EEB">
      <w:pPr>
        <w:spacing w:line="440" w:lineRule="exact"/>
        <w:rPr>
          <w:rFonts w:ascii="標楷體" w:eastAsia="標楷體" w:hAnsi="標楷體"/>
          <w:b/>
          <w:sz w:val="36"/>
          <w:szCs w:val="36"/>
        </w:rPr>
      </w:pPr>
      <w:r w:rsidRPr="00CE333D">
        <w:rPr>
          <w:rFonts w:ascii="標楷體" w:eastAsia="標楷體" w:hAnsi="標楷體"/>
          <w:b/>
          <w:sz w:val="36"/>
          <w:szCs w:val="36"/>
        </w:rPr>
        <w:t>公職人員財產申報</w:t>
      </w:r>
      <w:r w:rsidR="002F28BA" w:rsidRPr="00CE333D">
        <w:rPr>
          <w:rFonts w:ascii="標楷體" w:eastAsia="標楷體" w:hAnsi="標楷體" w:hint="eastAsia"/>
          <w:b/>
          <w:sz w:val="36"/>
          <w:szCs w:val="36"/>
        </w:rPr>
        <w:t>常見</w:t>
      </w:r>
      <w:r w:rsidRPr="00CE333D">
        <w:rPr>
          <w:rFonts w:ascii="標楷體" w:eastAsia="標楷體" w:hAnsi="標楷體" w:hint="eastAsia"/>
          <w:b/>
          <w:sz w:val="36"/>
          <w:szCs w:val="36"/>
        </w:rPr>
        <w:t>錯誤態樣</w:t>
      </w:r>
      <w:r w:rsidR="002F28BA" w:rsidRPr="00CE333D">
        <w:rPr>
          <w:rFonts w:ascii="標楷體" w:eastAsia="標楷體" w:hAnsi="標楷體" w:hint="eastAsia"/>
          <w:b/>
          <w:sz w:val="36"/>
          <w:szCs w:val="36"/>
        </w:rPr>
        <w:t>及應注意事項</w:t>
      </w:r>
    </w:p>
    <w:p w:rsidR="00CE333D" w:rsidRPr="00CE333D" w:rsidRDefault="00CE333D" w:rsidP="00D23EEB">
      <w:pPr>
        <w:spacing w:line="440" w:lineRule="exact"/>
        <w:rPr>
          <w:rFonts w:ascii="標楷體" w:eastAsia="標楷體" w:hAnsi="標楷體"/>
          <w:b/>
          <w:sz w:val="36"/>
          <w:szCs w:val="36"/>
        </w:rPr>
      </w:pPr>
    </w:p>
    <w:p w:rsidR="00AD2EAF" w:rsidRPr="00AD2EAF" w:rsidRDefault="00AD2EAF" w:rsidP="00AD2EAF">
      <w:pPr>
        <w:spacing w:line="440" w:lineRule="exact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一、常見申報錯誤案例</w:t>
      </w:r>
    </w:p>
    <w:p w:rsidR="00AD2EAF" w:rsidRPr="00AD2EAF" w:rsidRDefault="00AD2EAF" w:rsidP="002F28BA">
      <w:pPr>
        <w:spacing w:line="440" w:lineRule="exact"/>
        <w:ind w:leftChars="118" w:left="283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(一)逾期申報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</w:t>
      </w:r>
      <w:r w:rsidR="002F28BA">
        <w:rPr>
          <w:rFonts w:ascii="標楷體" w:eastAsia="標楷體" w:hAnsi="標楷體" w:hint="eastAsia"/>
          <w:sz w:val="32"/>
          <w:szCs w:val="32"/>
        </w:rPr>
        <w:t>某機關</w:t>
      </w:r>
      <w:r w:rsidRPr="00AD2EAF">
        <w:rPr>
          <w:rFonts w:ascii="標楷體" w:eastAsia="標楷體" w:hAnsi="標楷體" w:hint="eastAsia"/>
          <w:sz w:val="32"/>
          <w:szCs w:val="32"/>
        </w:rPr>
        <w:t>組長在就（到）職後超過法定3個月期限才完成申報</w:t>
      </w:r>
      <w:r w:rsidR="00FD1A82">
        <w:rPr>
          <w:rFonts w:ascii="標楷體" w:eastAsia="標楷體" w:hAnsi="標楷體" w:hint="eastAsia"/>
          <w:sz w:val="32"/>
          <w:szCs w:val="32"/>
        </w:rPr>
        <w:t>。</w:t>
      </w:r>
      <w:r w:rsidRPr="00AD2EAF">
        <w:rPr>
          <w:rFonts w:ascii="標楷體" w:eastAsia="標楷體" w:hAnsi="標楷體" w:hint="eastAsia"/>
          <w:sz w:val="32"/>
          <w:szCs w:val="32"/>
        </w:rPr>
        <w:t>另有國小校長在定期申報時，</w:t>
      </w:r>
      <w:r w:rsidR="00FD1A82">
        <w:rPr>
          <w:rFonts w:ascii="標楷體" w:eastAsia="標楷體" w:hAnsi="標楷體" w:hint="eastAsia"/>
          <w:sz w:val="32"/>
          <w:szCs w:val="32"/>
        </w:rPr>
        <w:t>聲稱因</w:t>
      </w:r>
      <w:r w:rsidRPr="00AD2EAF">
        <w:rPr>
          <w:rFonts w:ascii="標楷體" w:eastAsia="標楷體" w:hAnsi="標楷體" w:hint="eastAsia"/>
          <w:sz w:val="32"/>
          <w:szCs w:val="32"/>
        </w:rPr>
        <w:t>公務繁忙延遲了11天才申報</w:t>
      </w:r>
      <w:r w:rsidR="00FD1A82">
        <w:rPr>
          <w:rFonts w:ascii="標楷體" w:eastAsia="標楷體" w:hAnsi="標楷體" w:hint="eastAsia"/>
          <w:sz w:val="32"/>
          <w:szCs w:val="32"/>
        </w:rPr>
        <w:t>，</w:t>
      </w:r>
      <w:r w:rsidRPr="00AD2EAF">
        <w:rPr>
          <w:rFonts w:ascii="標楷體" w:eastAsia="標楷體" w:hAnsi="標楷體" w:hint="eastAsia"/>
          <w:sz w:val="32"/>
          <w:szCs w:val="32"/>
        </w:rPr>
        <w:t>以及</w:t>
      </w:r>
      <w:r w:rsidR="002F28BA">
        <w:rPr>
          <w:rFonts w:ascii="標楷體" w:eastAsia="標楷體" w:hAnsi="標楷體" w:hint="eastAsia"/>
          <w:sz w:val="32"/>
          <w:szCs w:val="32"/>
        </w:rPr>
        <w:t>某</w:t>
      </w:r>
      <w:r w:rsidRPr="00AD2EAF">
        <w:rPr>
          <w:rFonts w:ascii="標楷體" w:eastAsia="標楷體" w:hAnsi="標楷體" w:hint="eastAsia"/>
          <w:sz w:val="32"/>
          <w:szCs w:val="32"/>
        </w:rPr>
        <w:t>科長誤解卸（離）職申報期限為3個月而遲誤申報。</w:t>
      </w:r>
    </w:p>
    <w:p w:rsidR="00AD2EAF" w:rsidRDefault="00AD2EAF" w:rsidP="002F28BA">
      <w:pPr>
        <w:spacing w:line="440" w:lineRule="exact"/>
        <w:ind w:leftChars="354" w:left="1208" w:hangingChars="112" w:hanging="358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</w:t>
      </w:r>
    </w:p>
    <w:p w:rsidR="00AD2EAF" w:rsidRDefault="00AD2EAF" w:rsidP="00FD1A82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</w:t>
      </w:r>
      <w:r>
        <w:rPr>
          <w:rFonts w:ascii="標楷體" w:eastAsia="標楷體" w:hAnsi="標楷體"/>
          <w:sz w:val="32"/>
          <w:szCs w:val="32"/>
        </w:rPr>
        <w:t>1)</w:t>
      </w:r>
      <w:r w:rsidRPr="00AD2EAF">
        <w:rPr>
          <w:rFonts w:ascii="標楷體" w:eastAsia="標楷體" w:hAnsi="標楷體" w:hint="eastAsia"/>
          <w:sz w:val="32"/>
          <w:szCs w:val="32"/>
        </w:rPr>
        <w:t>務必確認各類申報</w:t>
      </w:r>
      <w:r w:rsidR="00FD1A82">
        <w:rPr>
          <w:rFonts w:ascii="標楷體" w:eastAsia="標楷體" w:hAnsi="標楷體" w:hint="eastAsia"/>
          <w:sz w:val="32"/>
          <w:szCs w:val="32"/>
        </w:rPr>
        <w:t>「</w:t>
      </w:r>
      <w:r w:rsidRPr="00AD2EAF">
        <w:rPr>
          <w:rFonts w:ascii="標楷體" w:eastAsia="標楷體" w:hAnsi="標楷體" w:hint="eastAsia"/>
          <w:sz w:val="32"/>
          <w:szCs w:val="32"/>
        </w:rPr>
        <w:t>就（到）職、定期、卸（離）職</w:t>
      </w:r>
      <w:r w:rsidR="00FD1A82">
        <w:rPr>
          <w:rFonts w:ascii="標楷體" w:eastAsia="標楷體" w:hAnsi="標楷體" w:hint="eastAsia"/>
          <w:sz w:val="32"/>
          <w:szCs w:val="32"/>
        </w:rPr>
        <w:t>」</w:t>
      </w:r>
      <w:r w:rsidRPr="00AD2EAF">
        <w:rPr>
          <w:rFonts w:ascii="標楷體" w:eastAsia="標楷體" w:hAnsi="標楷體" w:hint="eastAsia"/>
          <w:sz w:val="32"/>
          <w:szCs w:val="32"/>
        </w:rPr>
        <w:t>的正確申報期限，並儘早辦理，避免因疏忽或誤解而逾期受罰。</w:t>
      </w:r>
      <w:r w:rsidR="008968A0" w:rsidRPr="00AD2EAF">
        <w:rPr>
          <w:rFonts w:ascii="標楷體" w:eastAsia="標楷體" w:hAnsi="標楷體" w:hint="eastAsia"/>
          <w:sz w:val="32"/>
          <w:szCs w:val="32"/>
        </w:rPr>
        <w:t>就（到）職申報應於就（到）職後3個月內辦理。定期申報時間為每年11月1日至12月31日。卸（離）職申報應於卸（離）職後2個月內辦理。</w:t>
      </w:r>
    </w:p>
    <w:p w:rsidR="00AD2EAF" w:rsidRPr="00AD2EAF" w:rsidRDefault="00AD2EAF" w:rsidP="008968A0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(2)</w:t>
      </w:r>
      <w:r w:rsidRPr="00AD2EAF">
        <w:rPr>
          <w:rFonts w:ascii="標楷體" w:eastAsia="標楷體" w:hAnsi="標楷體" w:hint="eastAsia"/>
          <w:sz w:val="32"/>
          <w:szCs w:val="32"/>
        </w:rPr>
        <w:t>公職人員有主動申報的義務，受理申報機關沒有通知的義務，其通知僅具服務之性質，申報義務人不得以不知法律規定及未受通知，作為解免違章罰鍰之依據。(行政法院86年判字第2549號)</w:t>
      </w:r>
    </w:p>
    <w:p w:rsidR="00AD2EAF" w:rsidRPr="00AD2EAF" w:rsidRDefault="00AD2EAF" w:rsidP="002F28BA">
      <w:pPr>
        <w:spacing w:line="440" w:lineRule="exact"/>
        <w:ind w:leftChars="118" w:left="283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(二)漏報不動產（土地及建物）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說明：有校長漏報本人名下繼承的3筆土地。亦有分隊長漏報配偶受贈的農地，誤認為無價值不需申報，以及校長誤解申報規定，將取得超過5年的不動產資料刪除導致漏報。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不論價值多少、取得方式（繼承、受贈、購買等）及登記時間，土地和建物都必須如實申報。這包括道路用地、公共設施保留地、原住民保留地（已取得權狀）、農地、墓地、有權狀的納（墓）骨塔、未登記建物及停車位等。若不清楚名下不動產狀況，可向財稅單位或地政機關查詢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(三) 漏報配偶或未成年子女名下財產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lastRenderedPageBreak/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說明：多個案例中都出現漏報配偶名下的存款、土地、有價證券、基金、黃金存摺等情況。</w:t>
      </w:r>
    </w:p>
    <w:p w:rsidR="00AD2EAF" w:rsidRPr="00AD2EAF" w:rsidRDefault="00AD2EAF" w:rsidP="00395A1C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注意事項：公職人員的配偶及未成年子女名下</w:t>
      </w:r>
      <w:r w:rsidR="00395A1C">
        <w:rPr>
          <w:rFonts w:ascii="標楷體" w:eastAsia="標楷體" w:hAnsi="標楷體" w:hint="eastAsia"/>
          <w:sz w:val="32"/>
          <w:szCs w:val="32"/>
        </w:rPr>
        <w:t>之</w:t>
      </w:r>
      <w:r w:rsidRPr="00AD2EAF">
        <w:rPr>
          <w:rFonts w:ascii="標楷體" w:eastAsia="標楷體" w:hAnsi="標楷體" w:hint="eastAsia"/>
          <w:sz w:val="32"/>
          <w:szCs w:val="32"/>
        </w:rPr>
        <w:t>財產</w:t>
      </w:r>
      <w:r w:rsidR="00395A1C">
        <w:rPr>
          <w:rFonts w:ascii="標楷體" w:eastAsia="標楷體" w:hAnsi="標楷體" w:hint="eastAsia"/>
          <w:sz w:val="32"/>
          <w:szCs w:val="32"/>
        </w:rPr>
        <w:t>：</w:t>
      </w:r>
      <w:r w:rsidR="00395A1C" w:rsidRPr="00395A1C">
        <w:rPr>
          <w:rFonts w:ascii="標楷體" w:eastAsia="標楷體" w:hAnsi="標楷體" w:hint="eastAsia"/>
          <w:sz w:val="32"/>
          <w:szCs w:val="32"/>
        </w:rPr>
        <w:t>(1)不動產、汽車、船舶、航空器、保險（不論金額大小）</w:t>
      </w:r>
      <w:r w:rsidR="00395A1C">
        <w:rPr>
          <w:rFonts w:ascii="標楷體" w:eastAsia="標楷體" w:hAnsi="標楷體" w:hint="eastAsia"/>
          <w:sz w:val="32"/>
          <w:szCs w:val="32"/>
        </w:rPr>
        <w:t>、</w:t>
      </w:r>
      <w:r w:rsidR="00395A1C" w:rsidRPr="00395A1C">
        <w:rPr>
          <w:rFonts w:ascii="標楷體" w:eastAsia="標楷體" w:hAnsi="標楷體" w:hint="eastAsia"/>
          <w:sz w:val="32"/>
          <w:szCs w:val="32"/>
        </w:rPr>
        <w:t>(2)現金、存款、有價證券、債權、債務、事業投資（100萬元申報標準）(3)珠寶、古董、字畫及其他具有相當價值財產（20萬元申報標準）</w:t>
      </w:r>
      <w:r w:rsidR="00395A1C">
        <w:rPr>
          <w:rFonts w:ascii="標楷體" w:eastAsia="標楷體" w:hAnsi="標楷體" w:hint="eastAsia"/>
          <w:sz w:val="32"/>
          <w:szCs w:val="32"/>
        </w:rPr>
        <w:t>，</w:t>
      </w:r>
      <w:r w:rsidR="00395A1C" w:rsidRPr="00395A1C">
        <w:rPr>
          <w:rFonts w:ascii="標楷體" w:eastAsia="標楷體" w:hAnsi="標楷體" w:hint="eastAsia"/>
          <w:sz w:val="32"/>
          <w:szCs w:val="32"/>
        </w:rPr>
        <w:t>申報人本人、配偶及未成年子女名下「各別」之</w:t>
      </w:r>
      <w:r w:rsidR="00395A1C">
        <w:rPr>
          <w:rFonts w:ascii="標楷體" w:eastAsia="標楷體" w:hAnsi="標楷體" w:hint="eastAsia"/>
          <w:sz w:val="32"/>
          <w:szCs w:val="32"/>
        </w:rPr>
        <w:t>財產</w:t>
      </w:r>
      <w:r w:rsidR="00395A1C" w:rsidRPr="00395A1C">
        <w:rPr>
          <w:rFonts w:ascii="標楷體" w:eastAsia="標楷體" w:hAnsi="標楷體" w:hint="eastAsia"/>
          <w:sz w:val="32"/>
          <w:szCs w:val="32"/>
        </w:rPr>
        <w:t>累計達申報標準者，即應由申報人逐筆申報。</w:t>
      </w:r>
      <w:r w:rsidRPr="00AD2EAF">
        <w:rPr>
          <w:rFonts w:ascii="標楷體" w:eastAsia="標楷體" w:hAnsi="標楷體" w:hint="eastAsia"/>
          <w:sz w:val="32"/>
          <w:szCs w:val="32"/>
        </w:rPr>
        <w:t>即使夫妻財產各自管理，仍應據實申報配偶及未成年子女的財產狀況。申報前應確實與配偶溝通、查詢並核對相關財產資料。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(四)漏</w:t>
      </w:r>
      <w:r w:rsidR="00B57C31">
        <w:rPr>
          <w:rFonts w:ascii="標楷體" w:eastAsia="標楷體" w:hAnsi="標楷體" w:hint="eastAsia"/>
          <w:sz w:val="32"/>
          <w:szCs w:val="32"/>
        </w:rPr>
        <w:t>(溢</w:t>
      </w:r>
      <w:r w:rsidR="00B57C31">
        <w:rPr>
          <w:rFonts w:ascii="標楷體" w:eastAsia="標楷體" w:hAnsi="標楷體"/>
          <w:sz w:val="32"/>
          <w:szCs w:val="32"/>
        </w:rPr>
        <w:t>)</w:t>
      </w:r>
      <w:r w:rsidRPr="00AD2EAF">
        <w:rPr>
          <w:rFonts w:ascii="標楷體" w:eastAsia="標楷體" w:hAnsi="標楷體" w:hint="eastAsia"/>
          <w:sz w:val="32"/>
          <w:szCs w:val="32"/>
        </w:rPr>
        <w:t>報存款</w:t>
      </w:r>
    </w:p>
    <w:p w:rsidR="00AD2EAF" w:rsidRPr="00B57C31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color w:val="000000" w:themeColor="text1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</w:t>
      </w:r>
      <w:r w:rsidR="004831EB">
        <w:rPr>
          <w:rFonts w:ascii="標楷體" w:eastAsia="標楷體" w:hAnsi="標楷體" w:hint="eastAsia"/>
          <w:sz w:val="32"/>
          <w:szCs w:val="32"/>
        </w:rPr>
        <w:t>鄉(鎮)</w:t>
      </w:r>
      <w:r w:rsidR="00B57C31">
        <w:rPr>
          <w:rFonts w:ascii="標楷體" w:eastAsia="標楷體" w:hAnsi="標楷體" w:hint="eastAsia"/>
          <w:sz w:val="32"/>
          <w:szCs w:val="32"/>
        </w:rPr>
        <w:t>代表</w:t>
      </w:r>
      <w:r w:rsidRPr="00AD2EAF">
        <w:rPr>
          <w:rFonts w:ascii="標楷體" w:eastAsia="標楷體" w:hAnsi="標楷體" w:hint="eastAsia"/>
          <w:sz w:val="32"/>
          <w:szCs w:val="32"/>
        </w:rPr>
        <w:t>短報本人及配偶</w:t>
      </w:r>
      <w:r w:rsidR="004831EB">
        <w:rPr>
          <w:rFonts w:ascii="標楷體" w:eastAsia="標楷體" w:hAnsi="標楷體" w:hint="eastAsia"/>
          <w:sz w:val="32"/>
          <w:szCs w:val="32"/>
        </w:rPr>
        <w:t>之</w:t>
      </w:r>
      <w:r w:rsidRPr="00AD2EAF">
        <w:rPr>
          <w:rFonts w:ascii="標楷體" w:eastAsia="標楷體" w:hAnsi="標楷體" w:hint="eastAsia"/>
          <w:sz w:val="32"/>
          <w:szCs w:val="32"/>
        </w:rPr>
        <w:t>存款。亦有</w:t>
      </w:r>
      <w:r w:rsidR="00B57C31">
        <w:rPr>
          <w:rFonts w:ascii="標楷體" w:eastAsia="標楷體" w:hAnsi="標楷體" w:hint="eastAsia"/>
          <w:sz w:val="32"/>
          <w:szCs w:val="32"/>
        </w:rPr>
        <w:t>檢察官</w:t>
      </w:r>
      <w:r w:rsidRPr="00AD2EAF">
        <w:rPr>
          <w:rFonts w:ascii="標楷體" w:eastAsia="標楷體" w:hAnsi="標楷體" w:hint="eastAsia"/>
          <w:sz w:val="32"/>
          <w:szCs w:val="32"/>
        </w:rPr>
        <w:t>未申報配偶的新台幣及外幣存款。另有漏報本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人及配偶名下</w:t>
      </w:r>
      <w:r w:rsidR="004831EB">
        <w:rPr>
          <w:rFonts w:ascii="標楷體" w:eastAsia="標楷體" w:hAnsi="標楷體" w:hint="eastAsia"/>
          <w:color w:val="000000" w:themeColor="text1"/>
          <w:sz w:val="32"/>
          <w:szCs w:val="32"/>
        </w:rPr>
        <w:t>之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活期存款，</w:t>
      </w:r>
      <w:r w:rsid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辯稱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因平時較少使用存摺補登。還有將數筆存款合併申報導致與查核結果不符而被處罰的案例。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B57C31">
        <w:rPr>
          <w:rFonts w:ascii="標楷體" w:eastAsia="標楷體" w:hAnsi="標楷體"/>
          <w:color w:val="000000" w:themeColor="text1"/>
          <w:sz w:val="32"/>
          <w:szCs w:val="32"/>
        </w:rPr>
        <w:t>2.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注意事項：</w:t>
      </w:r>
      <w:r w:rsidR="00395A1C"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申報人本人、配偶及未成年子女名下「各別」之存款累計達申報標準者，</w:t>
      </w:r>
      <w:r w:rsidR="00B57C31"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各該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名下的所有存款帳戶都應申報。</w:t>
      </w:r>
      <w:r w:rsidR="004831EB">
        <w:rPr>
          <w:rFonts w:ascii="標楷體" w:eastAsia="標楷體" w:hAnsi="標楷體" w:hint="eastAsia"/>
          <w:color w:val="000000" w:themeColor="text1"/>
          <w:sz w:val="32"/>
          <w:szCs w:val="32"/>
        </w:rPr>
        <w:t>請勿</w:t>
      </w:r>
      <w:r w:rsidRPr="00B57C31">
        <w:rPr>
          <w:rFonts w:ascii="標楷體" w:eastAsia="標楷體" w:hAnsi="標楷體" w:hint="eastAsia"/>
          <w:color w:val="000000" w:themeColor="text1"/>
          <w:sz w:val="32"/>
          <w:szCs w:val="32"/>
        </w:rPr>
        <w:t>以概數或憑印象申報，應仔細核對銀行對帳單或補登存摺確認餘額。即使是久未使用或金額不高的帳戶也應申報。避免將多筆存款合併申報，應逐筆申報。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(五)漏報或誤報有價證券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說明：有議員漏報</w:t>
      </w:r>
      <w:r w:rsidR="004B30AB" w:rsidRPr="00AD2EAF">
        <w:rPr>
          <w:rFonts w:ascii="標楷體" w:eastAsia="標楷體" w:hAnsi="標楷體" w:hint="eastAsia"/>
          <w:sz w:val="32"/>
          <w:szCs w:val="32"/>
        </w:rPr>
        <w:t>非上市股票</w:t>
      </w:r>
      <w:r w:rsidR="004B30AB">
        <w:rPr>
          <w:rFonts w:ascii="標楷體" w:eastAsia="標楷體" w:hAnsi="標楷體" w:hint="eastAsia"/>
          <w:sz w:val="32"/>
          <w:szCs w:val="32"/>
        </w:rPr>
        <w:t>，</w:t>
      </w:r>
      <w:r w:rsidRPr="00AD2EAF">
        <w:rPr>
          <w:rFonts w:ascii="標楷體" w:eastAsia="標楷體" w:hAnsi="標楷體" w:hint="eastAsia"/>
          <w:sz w:val="32"/>
          <w:szCs w:val="32"/>
        </w:rPr>
        <w:t>誤認為不必申報。亦有秘書長漏未申報配偶的全部基金。多個案例顯示因誤解有價證券的申報標準（例如</w:t>
      </w:r>
      <w:r w:rsidR="00CA509E" w:rsidRPr="00CA509E">
        <w:rPr>
          <w:rFonts w:ascii="標楷體" w:eastAsia="標楷體" w:hAnsi="標楷體" w:hint="eastAsia"/>
          <w:sz w:val="32"/>
          <w:szCs w:val="32"/>
        </w:rPr>
        <w:t>誤認為各種股票及基金均超過100萬元才須申報</w:t>
      </w:r>
      <w:r w:rsidRPr="00AD2EAF">
        <w:rPr>
          <w:rFonts w:ascii="標楷體" w:eastAsia="標楷體" w:hAnsi="標楷體" w:hint="eastAsia"/>
          <w:sz w:val="32"/>
          <w:szCs w:val="32"/>
        </w:rPr>
        <w:t>）而漏報。亦有漏報下市、下櫃或市值低於10元的股票。</w:t>
      </w:r>
    </w:p>
    <w:p w:rsidR="00CA509E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</w:t>
      </w:r>
    </w:p>
    <w:p w:rsidR="00CA509E" w:rsidRDefault="00CA509E" w:rsidP="00CA509E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lastRenderedPageBreak/>
        <w:t>(</w:t>
      </w:r>
      <w:r>
        <w:rPr>
          <w:rFonts w:ascii="標楷體" w:eastAsia="標楷體" w:hAnsi="標楷體"/>
          <w:sz w:val="32"/>
          <w:szCs w:val="32"/>
        </w:rPr>
        <w:t>1)</w:t>
      </w:r>
      <w:r w:rsidRPr="00CA509E">
        <w:rPr>
          <w:rFonts w:ascii="標楷體" w:eastAsia="標楷體" w:hAnsi="標楷體" w:hint="eastAsia"/>
          <w:sz w:val="32"/>
          <w:szCs w:val="32"/>
        </w:rPr>
        <w:t>申報人本人、配偶及未成年子女名下「各別」之</w:t>
      </w:r>
      <w:r w:rsidR="004831EB">
        <w:rPr>
          <w:rFonts w:ascii="標楷體" w:eastAsia="標楷體" w:hAnsi="標楷體" w:hint="eastAsia"/>
          <w:sz w:val="32"/>
          <w:szCs w:val="32"/>
        </w:rPr>
        <w:t>「</w:t>
      </w:r>
      <w:r w:rsidRPr="00CA509E">
        <w:rPr>
          <w:rFonts w:ascii="標楷體" w:eastAsia="標楷體" w:hAnsi="標楷體" w:hint="eastAsia"/>
          <w:sz w:val="32"/>
          <w:szCs w:val="32"/>
        </w:rPr>
        <w:t>各類有價證券總額</w:t>
      </w:r>
      <w:r w:rsidR="004831EB">
        <w:rPr>
          <w:rFonts w:ascii="標楷體" w:eastAsia="標楷體" w:hAnsi="標楷體" w:hint="eastAsia"/>
          <w:sz w:val="32"/>
          <w:szCs w:val="32"/>
        </w:rPr>
        <w:t>」</w:t>
      </w:r>
      <w:r w:rsidRPr="00CA509E">
        <w:rPr>
          <w:rFonts w:ascii="標楷體" w:eastAsia="標楷體" w:hAnsi="標楷體" w:hint="eastAsia"/>
          <w:sz w:val="32"/>
          <w:szCs w:val="32"/>
        </w:rPr>
        <w:t>累計達</w:t>
      </w:r>
      <w:r>
        <w:rPr>
          <w:rFonts w:ascii="標楷體" w:eastAsia="標楷體" w:hAnsi="標楷體" w:hint="eastAsia"/>
          <w:sz w:val="32"/>
          <w:szCs w:val="32"/>
        </w:rPr>
        <w:t>100</w:t>
      </w:r>
      <w:r w:rsidRPr="00CA509E">
        <w:rPr>
          <w:rFonts w:ascii="標楷體" w:eastAsia="標楷體" w:hAnsi="標楷體" w:hint="eastAsia"/>
          <w:sz w:val="32"/>
          <w:szCs w:val="32"/>
        </w:rPr>
        <w:t>萬元者，即應由申報人逐筆申報。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包括未上市、未上櫃及興櫃股票，即使是下市、下櫃或市值低的股票也需要申報。</w:t>
      </w:r>
    </w:p>
    <w:p w:rsidR="00AD2EAF" w:rsidRPr="00AD2EAF" w:rsidRDefault="00CA509E" w:rsidP="00CA509E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(2)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以融資方式買進的股票，股票本身應申報在股票欄(有</w:t>
      </w:r>
      <w:r w:rsidR="004831EB">
        <w:rPr>
          <w:rFonts w:ascii="標楷體" w:eastAsia="標楷體" w:hAnsi="標楷體" w:hint="eastAsia"/>
          <w:sz w:val="32"/>
          <w:szCs w:val="32"/>
        </w:rPr>
        <w:t>授權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介接)，融資貸款則應申報在債務欄(未介接)。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(六)漏報保險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說明：有案例漏報多筆儲蓄型及投資型保險，原因包括助理未詢問即代為申報，以及誤認被保險人為已成年子女的保險不需申報。也有漏報配偶為要保人的保險。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保險（不論金額大小）原則上都應申報，包括儲蓄型、投資型及其他具有保單價值的保險。即使被保險人是已成年子女，若要保人是本人或配偶，通常仍應申報。漏報配偶為要保人的保險也是常見錯誤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(七)漏報債務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說明：有鄉民代表會副主席漏未申報其與他人</w:t>
      </w:r>
      <w:r w:rsidR="00473F81">
        <w:rPr>
          <w:rFonts w:ascii="標楷體" w:eastAsia="標楷體" w:hAnsi="標楷體" w:hint="eastAsia"/>
          <w:sz w:val="32"/>
          <w:szCs w:val="32"/>
        </w:rPr>
        <w:t>之</w:t>
      </w:r>
      <w:r w:rsidRPr="00AD2EAF">
        <w:rPr>
          <w:rFonts w:ascii="標楷體" w:eastAsia="標楷體" w:hAnsi="標楷體" w:hint="eastAsia"/>
          <w:sz w:val="32"/>
          <w:szCs w:val="32"/>
        </w:rPr>
        <w:t>債務。多個案例因誤解債務申報標準（例如以為單筆超過100萬元才需申報）而漏報房屋貸款、信用貸款等。也有漏報股票融資債務、以不動產設定抵押權的債務、私人借款、汽車貸款、保單借款、現金卡債務等。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</w:t>
      </w:r>
      <w:r w:rsidR="00473F81" w:rsidRPr="00473F81">
        <w:rPr>
          <w:rFonts w:ascii="標楷體" w:eastAsia="標楷體" w:hAnsi="標楷體" w:hint="eastAsia"/>
          <w:sz w:val="32"/>
          <w:szCs w:val="32"/>
        </w:rPr>
        <w:t>申報人本人、配偶及未成年子女「各別」名下債務達</w:t>
      </w:r>
      <w:r w:rsidR="00473F81">
        <w:rPr>
          <w:rFonts w:ascii="標楷體" w:eastAsia="標楷體" w:hAnsi="標楷體" w:hint="eastAsia"/>
          <w:sz w:val="32"/>
          <w:szCs w:val="32"/>
        </w:rPr>
        <w:t>100</w:t>
      </w:r>
      <w:r w:rsidR="00473F81" w:rsidRPr="00473F81">
        <w:rPr>
          <w:rFonts w:ascii="標楷體" w:eastAsia="標楷體" w:hAnsi="標楷體" w:hint="eastAsia"/>
          <w:sz w:val="32"/>
          <w:szCs w:val="32"/>
        </w:rPr>
        <w:t>萬元以上者，即應申報。</w:t>
      </w:r>
      <w:r w:rsidRPr="00AD2EAF">
        <w:rPr>
          <w:rFonts w:ascii="標楷體" w:eastAsia="標楷體" w:hAnsi="標楷體" w:hint="eastAsia"/>
          <w:sz w:val="32"/>
          <w:szCs w:val="32"/>
        </w:rPr>
        <w:t>包括房屋貸款、信用貸款、汽車貸款、保單借款、現金卡債務、私人借款、向親友借款、股票融資債務及以不動產設定抵押權的債務等。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(八)漏報事業投資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說明：有股長主張不知配偶名下事業投資已移轉，也</w:t>
      </w:r>
      <w:r w:rsidRPr="00AD2EAF">
        <w:rPr>
          <w:rFonts w:ascii="標楷體" w:eastAsia="標楷體" w:hAnsi="標楷體" w:hint="eastAsia"/>
          <w:sz w:val="32"/>
          <w:szCs w:val="32"/>
        </w:rPr>
        <w:lastRenderedPageBreak/>
        <w:t>未查詢財產總歸戶資料而漏報。亦有議員因長期使用系統介接申報，誤認可以同時介接事業投資而漏報本人及配偶的事業投資。</w:t>
      </w:r>
      <w:bookmarkStart w:id="0" w:name="_GoBack"/>
      <w:bookmarkEnd w:id="0"/>
    </w:p>
    <w:p w:rsidR="00C0563A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</w:t>
      </w:r>
    </w:p>
    <w:p w:rsidR="00AD2EAF" w:rsidRDefault="00C0563A" w:rsidP="00C0563A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</w:t>
      </w:r>
      <w:r>
        <w:rPr>
          <w:rFonts w:ascii="標楷體" w:eastAsia="標楷體" w:hAnsi="標楷體"/>
          <w:sz w:val="32"/>
          <w:szCs w:val="32"/>
        </w:rPr>
        <w:t>1)</w:t>
      </w:r>
      <w:r w:rsidR="00473F81" w:rsidRPr="00473F81">
        <w:rPr>
          <w:rFonts w:ascii="標楷體" w:eastAsia="標楷體" w:hAnsi="標楷體" w:hint="eastAsia"/>
          <w:sz w:val="32"/>
          <w:szCs w:val="32"/>
        </w:rPr>
        <w:t>申報人本人、配偶及未成年子女「各別」名下事業投資達</w:t>
      </w:r>
      <w:r w:rsidR="00473F81">
        <w:rPr>
          <w:rFonts w:ascii="標楷體" w:eastAsia="標楷體" w:hAnsi="標楷體" w:hint="eastAsia"/>
          <w:sz w:val="32"/>
          <w:szCs w:val="32"/>
        </w:rPr>
        <w:t>100</w:t>
      </w:r>
      <w:r w:rsidR="00473F81" w:rsidRPr="00473F81">
        <w:rPr>
          <w:rFonts w:ascii="標楷體" w:eastAsia="標楷體" w:hAnsi="標楷體" w:hint="eastAsia"/>
          <w:sz w:val="32"/>
          <w:szCs w:val="32"/>
        </w:rPr>
        <w:t>萬元以上者，即應申報。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自101年起，「全國財產總歸戶資料」已無記載事業投資相關資料，需自行向被投資事業機構或財稅機關查詢。</w:t>
      </w:r>
    </w:p>
    <w:p w:rsidR="00C0563A" w:rsidRPr="00AD2EAF" w:rsidRDefault="00C0563A" w:rsidP="00C0563A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(2)</w:t>
      </w:r>
      <w:r w:rsidRPr="00C0563A">
        <w:rPr>
          <w:rFonts w:ascii="標楷體" w:eastAsia="標楷體" w:hAnsi="標楷體" w:hint="eastAsia"/>
          <w:sz w:val="32"/>
          <w:szCs w:val="32"/>
        </w:rPr>
        <w:t>被他人借名或借用他人名義登記為公司股東的事業投資要申報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(九)誤解申報規定或未善盡查詢義務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說明：許多申報不實的案例中，申報人都以不諳法令、委由他人申報、與配偶財產分開制或配偶不願提供資料等理由作為辯解，但多未被採納。</w:t>
      </w:r>
    </w:p>
    <w:p w:rsidR="00C0563A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</w:t>
      </w:r>
    </w:p>
    <w:p w:rsidR="00C0563A" w:rsidRDefault="00C0563A" w:rsidP="00C0563A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(1)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公職人員有義務主動了解財產申報的相關法令及填寫說明。在申報前應詳細閱讀申報表填寫說明，如有疑問應主動向受理申報機關（構）查詢，受理申報機關並無主動釋明申報規定及通知申報期限之義務。</w:t>
      </w:r>
    </w:p>
    <w:p w:rsidR="00C0563A" w:rsidRDefault="00C0563A" w:rsidP="00C0563A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</w:t>
      </w:r>
      <w:r>
        <w:rPr>
          <w:rFonts w:ascii="標楷體" w:eastAsia="標楷體" w:hAnsi="標楷體"/>
          <w:sz w:val="32"/>
          <w:szCs w:val="32"/>
        </w:rPr>
        <w:t>2)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即使委由他人代為申報，申報人仍應負最終的檢查責任。</w:t>
      </w:r>
    </w:p>
    <w:p w:rsidR="00AD2EAF" w:rsidRPr="00AD2EAF" w:rsidRDefault="00C0563A" w:rsidP="00C0563A">
      <w:pPr>
        <w:spacing w:line="440" w:lineRule="exact"/>
        <w:ind w:leftChars="414" w:left="1506" w:hangingChars="160" w:hanging="51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(3)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不得以與配偶財產分開管理或配偶不願提供資料為由卸責，應盡力與配偶溝通協調以取得正確資訊。</w:t>
      </w:r>
    </w:p>
    <w:p w:rsidR="00AD2EAF" w:rsidRPr="00AD2EAF" w:rsidRDefault="00AD2EAF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(十)借名登記或被借名登記財產之申報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1.</w:t>
      </w:r>
      <w:r w:rsidRPr="00AD2EAF">
        <w:rPr>
          <w:rFonts w:ascii="標楷體" w:eastAsia="標楷體" w:hAnsi="標楷體" w:hint="eastAsia"/>
          <w:sz w:val="32"/>
          <w:szCs w:val="32"/>
        </w:rPr>
        <w:t>說明：有案例顯示公職人員借用他人名義進行事業投資、登記房地或存放款項而未申報，被認定為故意隱匿財產。</w:t>
      </w:r>
    </w:p>
    <w:p w:rsidR="00AD2EAF" w:rsidRPr="00AD2EAF" w:rsidRDefault="00AD2EAF" w:rsidP="00FD1A82">
      <w:pPr>
        <w:spacing w:line="440" w:lineRule="exact"/>
        <w:ind w:leftChars="354" w:left="1208" w:hangingChars="112" w:hanging="358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/>
          <w:sz w:val="32"/>
          <w:szCs w:val="32"/>
        </w:rPr>
        <w:t>2.</w:t>
      </w:r>
      <w:r w:rsidRPr="00AD2EAF">
        <w:rPr>
          <w:rFonts w:ascii="標楷體" w:eastAsia="標楷體" w:hAnsi="標楷體" w:hint="eastAsia"/>
          <w:sz w:val="32"/>
          <w:szCs w:val="32"/>
        </w:rPr>
        <w:t>注意事項：若有借用他人名義持有財產，或他人借用您的名義持有財產的情況，都應在申報表中如實說</w:t>
      </w:r>
      <w:r w:rsidRPr="00AD2EAF">
        <w:rPr>
          <w:rFonts w:ascii="標楷體" w:eastAsia="標楷體" w:hAnsi="標楷體" w:hint="eastAsia"/>
          <w:sz w:val="32"/>
          <w:szCs w:val="32"/>
        </w:rPr>
        <w:lastRenderedPageBreak/>
        <w:t>明。即使財產登記在他人名下，但若實質上是由您控制或使用，仍應申報並註明實際情況。</w:t>
      </w:r>
    </w:p>
    <w:p w:rsidR="00AD2EAF" w:rsidRPr="00AD2EAF" w:rsidRDefault="00AD2EAF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  <w:r w:rsidRPr="00AD2EAF">
        <w:rPr>
          <w:rFonts w:ascii="標楷體" w:eastAsia="標楷體" w:hAnsi="標楷體" w:hint="eastAsia"/>
          <w:sz w:val="32"/>
          <w:szCs w:val="32"/>
        </w:rPr>
        <w:t>二、</w:t>
      </w:r>
      <w:r w:rsidR="00C0563A">
        <w:rPr>
          <w:rFonts w:ascii="標楷體" w:eastAsia="標楷體" w:hAnsi="標楷體" w:hint="eastAsia"/>
          <w:sz w:val="32"/>
          <w:szCs w:val="32"/>
        </w:rPr>
        <w:t>叮嚀與</w:t>
      </w:r>
      <w:r w:rsidRPr="00AD2EAF">
        <w:rPr>
          <w:rFonts w:ascii="標楷體" w:eastAsia="標楷體" w:hAnsi="標楷體" w:hint="eastAsia"/>
          <w:sz w:val="32"/>
          <w:szCs w:val="32"/>
        </w:rPr>
        <w:t>提醒</w:t>
      </w:r>
    </w:p>
    <w:p w:rsidR="00AD2EAF" w:rsidRPr="00AD2EAF" w:rsidRDefault="002F28BA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(一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誠實申報是公職人員的基本義務。</w:t>
      </w:r>
    </w:p>
    <w:p w:rsidR="00AD2EAF" w:rsidRPr="00AD2EAF" w:rsidRDefault="002F28BA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(二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申報前務必仔細閱讀財產申報表填寫說明及相關規定。</w:t>
      </w:r>
    </w:p>
    <w:p w:rsidR="00AD2EAF" w:rsidRPr="00AD2EAF" w:rsidRDefault="002F28BA" w:rsidP="00FD1A82">
      <w:pPr>
        <w:spacing w:line="440" w:lineRule="exact"/>
        <w:ind w:leftChars="118" w:left="283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(三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以「申報日」作為查詢財產的基準日。</w:t>
      </w:r>
    </w:p>
    <w:p w:rsidR="00AD2EAF" w:rsidRPr="00AD2EAF" w:rsidRDefault="002F28BA" w:rsidP="00FD1A82">
      <w:pPr>
        <w:spacing w:line="440" w:lineRule="exact"/>
        <w:ind w:leftChars="118" w:left="945" w:hangingChars="207" w:hanging="66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(四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如有任何疑問，請務必主動向機關政風單位或監察院公職人員財產申報處洽詢，切勿自行臆測。</w:t>
      </w:r>
    </w:p>
    <w:p w:rsidR="00AD2EAF" w:rsidRPr="00AD2EAF" w:rsidRDefault="002F28BA" w:rsidP="00FD1A82">
      <w:pPr>
        <w:spacing w:line="440" w:lineRule="exact"/>
        <w:ind w:leftChars="118" w:left="945" w:hangingChars="207" w:hanging="66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/>
          <w:sz w:val="32"/>
          <w:szCs w:val="32"/>
        </w:rPr>
        <w:t>(</w:t>
      </w:r>
      <w:r>
        <w:rPr>
          <w:rFonts w:ascii="標楷體" w:eastAsia="標楷體" w:hAnsi="標楷體" w:hint="eastAsia"/>
          <w:sz w:val="32"/>
          <w:szCs w:val="32"/>
        </w:rPr>
        <w:t>五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採用授權介接資料申報者，仍應仔細核對介接資料是否完整正確，並自行申報無法介接的財產項目。</w:t>
      </w:r>
    </w:p>
    <w:p w:rsidR="00AD2EAF" w:rsidRDefault="002F28BA" w:rsidP="00FD1A82">
      <w:pPr>
        <w:spacing w:line="440" w:lineRule="exact"/>
        <w:ind w:leftChars="118" w:left="945" w:hangingChars="207" w:hanging="662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(六</w:t>
      </w:r>
      <w:r>
        <w:rPr>
          <w:rFonts w:ascii="標楷體" w:eastAsia="標楷體" w:hAnsi="標楷體"/>
          <w:sz w:val="32"/>
          <w:szCs w:val="32"/>
        </w:rPr>
        <w:t>)</w:t>
      </w:r>
      <w:r w:rsidR="00AD2EAF" w:rsidRPr="00AD2EAF">
        <w:rPr>
          <w:rFonts w:ascii="標楷體" w:eastAsia="標楷體" w:hAnsi="標楷體" w:hint="eastAsia"/>
          <w:sz w:val="32"/>
          <w:szCs w:val="32"/>
        </w:rPr>
        <w:t>無法取得配偶或未成年子女財產資料時，應於「備註欄」中敘明理由，並於查核時提供相關證明文件。</w:t>
      </w:r>
    </w:p>
    <w:p w:rsidR="00AD2EAF" w:rsidRPr="00AD2EAF" w:rsidRDefault="00AD2EAF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</w:p>
    <w:p w:rsidR="00AD2EAF" w:rsidRDefault="002F28BA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註：</w:t>
      </w:r>
      <w:r w:rsidR="00324737">
        <w:rPr>
          <w:rFonts w:ascii="標楷體" w:eastAsia="標楷體" w:hAnsi="標楷體" w:hint="eastAsia"/>
          <w:sz w:val="32"/>
          <w:szCs w:val="32"/>
        </w:rPr>
        <w:t>本文相關案例係參考</w:t>
      </w:r>
      <w:r w:rsidR="00CE333D">
        <w:rPr>
          <w:rFonts w:ascii="標楷體" w:eastAsia="標楷體" w:hAnsi="標楷體" w:hint="eastAsia"/>
          <w:sz w:val="32"/>
          <w:szCs w:val="32"/>
        </w:rPr>
        <w:t>監察院</w:t>
      </w:r>
      <w:r w:rsidR="00CE333D" w:rsidRPr="00CE333D">
        <w:rPr>
          <w:rFonts w:ascii="標楷體" w:eastAsia="標楷體" w:hAnsi="標楷體" w:hint="eastAsia"/>
          <w:sz w:val="32"/>
          <w:szCs w:val="32"/>
        </w:rPr>
        <w:t>陽光法令主題網</w:t>
      </w:r>
      <w:r w:rsidR="00CE333D">
        <w:rPr>
          <w:rFonts w:ascii="標楷體" w:eastAsia="標楷體" w:hAnsi="標楷體" w:hint="eastAsia"/>
          <w:sz w:val="32"/>
          <w:szCs w:val="32"/>
        </w:rPr>
        <w:t>、</w:t>
      </w:r>
      <w:r w:rsidR="00324737">
        <w:rPr>
          <w:rFonts w:ascii="標楷體" w:eastAsia="標楷體" w:hAnsi="標楷體" w:hint="eastAsia"/>
          <w:sz w:val="32"/>
          <w:szCs w:val="32"/>
        </w:rPr>
        <w:t>法務部廉政署、</w:t>
      </w:r>
      <w:r w:rsidR="00CE333D" w:rsidRPr="00CE333D">
        <w:rPr>
          <w:rFonts w:ascii="標楷體" w:eastAsia="標楷體" w:hAnsi="標楷體" w:hint="eastAsia"/>
          <w:sz w:val="32"/>
          <w:szCs w:val="32"/>
        </w:rPr>
        <w:t>宜蘭縣政府政風處</w:t>
      </w:r>
      <w:r w:rsidR="00324737">
        <w:rPr>
          <w:rFonts w:ascii="標楷體" w:eastAsia="標楷體" w:hAnsi="標楷體" w:hint="eastAsia"/>
          <w:sz w:val="32"/>
          <w:szCs w:val="32"/>
        </w:rPr>
        <w:t>等網站資料及</w:t>
      </w:r>
      <w:r w:rsidR="00324737" w:rsidRPr="00324737">
        <w:rPr>
          <w:rFonts w:ascii="標楷體" w:eastAsia="標楷體" w:hAnsi="標楷體" w:hint="eastAsia"/>
          <w:sz w:val="32"/>
          <w:szCs w:val="32"/>
        </w:rPr>
        <w:t>監察院公職人員財產申報處專員簡羅智</w:t>
      </w:r>
      <w:r w:rsidR="00324737">
        <w:rPr>
          <w:rFonts w:ascii="標楷體" w:eastAsia="標楷體" w:hAnsi="標楷體" w:hint="eastAsia"/>
          <w:sz w:val="32"/>
          <w:szCs w:val="32"/>
        </w:rPr>
        <w:t>之</w:t>
      </w:r>
      <w:r w:rsidR="00324737" w:rsidRPr="00324737">
        <w:rPr>
          <w:rFonts w:ascii="標楷體" w:eastAsia="標楷體" w:hAnsi="標楷體" w:hint="eastAsia"/>
          <w:sz w:val="32"/>
          <w:szCs w:val="32"/>
        </w:rPr>
        <w:t>公職人員財產申報常見錯誤態樣與實務案例說明</w:t>
      </w:r>
      <w:r w:rsidR="00324737">
        <w:rPr>
          <w:rFonts w:ascii="標楷體" w:eastAsia="標楷體" w:hAnsi="標楷體" w:hint="eastAsia"/>
          <w:sz w:val="32"/>
          <w:szCs w:val="32"/>
        </w:rPr>
        <w:t>簡報資料。</w:t>
      </w:r>
    </w:p>
    <w:p w:rsidR="00AD2EAF" w:rsidRPr="00324737" w:rsidRDefault="00AD2EAF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</w:p>
    <w:p w:rsidR="00AD2EAF" w:rsidRDefault="00AD2EAF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</w:p>
    <w:p w:rsidR="00AD2EAF" w:rsidRDefault="00AD2EAF" w:rsidP="00FD1A82">
      <w:pPr>
        <w:spacing w:line="440" w:lineRule="exact"/>
        <w:jc w:val="both"/>
        <w:rPr>
          <w:rFonts w:ascii="標楷體" w:eastAsia="標楷體" w:hAnsi="標楷體"/>
          <w:sz w:val="32"/>
          <w:szCs w:val="32"/>
        </w:rPr>
      </w:pPr>
    </w:p>
    <w:sectPr w:rsidR="00AD2EAF" w:rsidSect="00FD1A8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C79" w:rsidRDefault="00FC5C79" w:rsidP="005F20D8">
      <w:r>
        <w:separator/>
      </w:r>
    </w:p>
  </w:endnote>
  <w:endnote w:type="continuationSeparator" w:id="0">
    <w:p w:rsidR="00FC5C79" w:rsidRDefault="00FC5C79" w:rsidP="005F2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91107638"/>
      <w:docPartObj>
        <w:docPartGallery w:val="Page Numbers (Bottom of Page)"/>
        <w:docPartUnique/>
      </w:docPartObj>
    </w:sdtPr>
    <w:sdtEndPr/>
    <w:sdtContent>
      <w:p w:rsidR="00742090" w:rsidRDefault="0074209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31E" w:rsidRPr="00FD031E">
          <w:rPr>
            <w:noProof/>
            <w:lang w:val="zh-TW"/>
          </w:rPr>
          <w:t>1</w:t>
        </w:r>
        <w:r>
          <w:fldChar w:fldCharType="end"/>
        </w:r>
      </w:p>
    </w:sdtContent>
  </w:sdt>
  <w:p w:rsidR="00742090" w:rsidRDefault="0074209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C79" w:rsidRDefault="00FC5C79" w:rsidP="005F20D8">
      <w:r>
        <w:separator/>
      </w:r>
    </w:p>
  </w:footnote>
  <w:footnote w:type="continuationSeparator" w:id="0">
    <w:p w:rsidR="00FC5C79" w:rsidRDefault="00FC5C79" w:rsidP="005F20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D46C8"/>
    <w:multiLevelType w:val="multilevel"/>
    <w:tmpl w:val="31281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B95150"/>
    <w:multiLevelType w:val="multilevel"/>
    <w:tmpl w:val="608EA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B61BE8"/>
    <w:multiLevelType w:val="multilevel"/>
    <w:tmpl w:val="754A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3441D8"/>
    <w:multiLevelType w:val="multilevel"/>
    <w:tmpl w:val="787CA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92F49EA"/>
    <w:multiLevelType w:val="multilevel"/>
    <w:tmpl w:val="B6E63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5507A6"/>
    <w:multiLevelType w:val="multilevel"/>
    <w:tmpl w:val="50367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380142E"/>
    <w:multiLevelType w:val="multilevel"/>
    <w:tmpl w:val="DD6E7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BA607C"/>
    <w:multiLevelType w:val="multilevel"/>
    <w:tmpl w:val="98963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21465E"/>
    <w:multiLevelType w:val="multilevel"/>
    <w:tmpl w:val="A68CC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2D7B8A"/>
    <w:multiLevelType w:val="multilevel"/>
    <w:tmpl w:val="470AB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F561870"/>
    <w:multiLevelType w:val="multilevel"/>
    <w:tmpl w:val="92D6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68817EA"/>
    <w:multiLevelType w:val="multilevel"/>
    <w:tmpl w:val="2B909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BB17A3"/>
    <w:multiLevelType w:val="multilevel"/>
    <w:tmpl w:val="0F56A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AA668EE"/>
    <w:multiLevelType w:val="multilevel"/>
    <w:tmpl w:val="6D7E18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C32045"/>
    <w:multiLevelType w:val="multilevel"/>
    <w:tmpl w:val="4FA039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B7A7985"/>
    <w:multiLevelType w:val="hybridMultilevel"/>
    <w:tmpl w:val="156C3BA0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700B2C7A"/>
    <w:multiLevelType w:val="multilevel"/>
    <w:tmpl w:val="25FEF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C02482"/>
    <w:multiLevelType w:val="multilevel"/>
    <w:tmpl w:val="89ACF8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A4F6E4E"/>
    <w:multiLevelType w:val="multilevel"/>
    <w:tmpl w:val="CEDC5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0809A7"/>
    <w:multiLevelType w:val="multilevel"/>
    <w:tmpl w:val="FABC8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925FD6"/>
    <w:multiLevelType w:val="multilevel"/>
    <w:tmpl w:val="BB843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FB056BA"/>
    <w:multiLevelType w:val="multilevel"/>
    <w:tmpl w:val="A8622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9"/>
  </w:num>
  <w:num w:numId="3">
    <w:abstractNumId w:val="17"/>
  </w:num>
  <w:num w:numId="4">
    <w:abstractNumId w:val="8"/>
  </w:num>
  <w:num w:numId="5">
    <w:abstractNumId w:val="13"/>
  </w:num>
  <w:num w:numId="6">
    <w:abstractNumId w:val="0"/>
  </w:num>
  <w:num w:numId="7">
    <w:abstractNumId w:val="10"/>
  </w:num>
  <w:num w:numId="8">
    <w:abstractNumId w:val="7"/>
  </w:num>
  <w:num w:numId="9">
    <w:abstractNumId w:val="21"/>
  </w:num>
  <w:num w:numId="10">
    <w:abstractNumId w:val="16"/>
  </w:num>
  <w:num w:numId="11">
    <w:abstractNumId w:val="14"/>
  </w:num>
  <w:num w:numId="12">
    <w:abstractNumId w:val="1"/>
  </w:num>
  <w:num w:numId="13">
    <w:abstractNumId w:val="4"/>
  </w:num>
  <w:num w:numId="14">
    <w:abstractNumId w:val="2"/>
  </w:num>
  <w:num w:numId="15">
    <w:abstractNumId w:val="18"/>
  </w:num>
  <w:num w:numId="16">
    <w:abstractNumId w:val="9"/>
  </w:num>
  <w:num w:numId="17">
    <w:abstractNumId w:val="12"/>
  </w:num>
  <w:num w:numId="18">
    <w:abstractNumId w:val="20"/>
  </w:num>
  <w:num w:numId="19">
    <w:abstractNumId w:val="5"/>
  </w:num>
  <w:num w:numId="20">
    <w:abstractNumId w:val="11"/>
  </w:num>
  <w:num w:numId="21">
    <w:abstractNumId w:val="3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AB5"/>
    <w:rsid w:val="002C0CA2"/>
    <w:rsid w:val="002F28BA"/>
    <w:rsid w:val="00324737"/>
    <w:rsid w:val="003635B9"/>
    <w:rsid w:val="00382EF0"/>
    <w:rsid w:val="00395A1C"/>
    <w:rsid w:val="003D4EE7"/>
    <w:rsid w:val="00473F81"/>
    <w:rsid w:val="004831EB"/>
    <w:rsid w:val="004B30AB"/>
    <w:rsid w:val="005F20D8"/>
    <w:rsid w:val="00742090"/>
    <w:rsid w:val="00877713"/>
    <w:rsid w:val="008968A0"/>
    <w:rsid w:val="00AD2EAF"/>
    <w:rsid w:val="00B57C31"/>
    <w:rsid w:val="00C0563A"/>
    <w:rsid w:val="00C40AB5"/>
    <w:rsid w:val="00CA509E"/>
    <w:rsid w:val="00CE333D"/>
    <w:rsid w:val="00D23EEB"/>
    <w:rsid w:val="00DA0841"/>
    <w:rsid w:val="00E05614"/>
    <w:rsid w:val="00EC635C"/>
    <w:rsid w:val="00FC5C79"/>
    <w:rsid w:val="00FD031E"/>
    <w:rsid w:val="00FD1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,"/>
  <w14:docId w14:val="3E88CDB4"/>
  <w15:chartTrackingRefBased/>
  <w15:docId w15:val="{5B0A8D5A-3EBA-4E54-BD2F-379915E1D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F20D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F20D8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F20D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F20D8"/>
    <w:rPr>
      <w:sz w:val="20"/>
      <w:szCs w:val="20"/>
    </w:rPr>
  </w:style>
  <w:style w:type="paragraph" w:styleId="a7">
    <w:name w:val="List Paragraph"/>
    <w:basedOn w:val="a"/>
    <w:uiPriority w:val="34"/>
    <w:qFormat/>
    <w:rsid w:val="005F20D8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00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410</Words>
  <Characters>2339</Characters>
  <Application>Microsoft Office Word</Application>
  <DocSecurity>0</DocSecurity>
  <Lines>19</Lines>
  <Paragraphs>5</Paragraphs>
  <ScaleCrop>false</ScaleCrop>
  <Company/>
  <LinksUpToDate>false</LinksUpToDate>
  <CharactersWithSpaces>2744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政風檢舉信箱</dc:creator>
  <cp:keywords/>
  <dc:description/>
  <cp:lastModifiedBy>政風檢舉信箱</cp:lastModifiedBy>
  <cp:revision>2</cp:revision>
  <dcterms:created xsi:type="dcterms:W3CDTF">2025-03-06T09:49:00Z</dcterms:created>
  <dcterms:modified xsi:type="dcterms:W3CDTF">2025-03-06T09:49:00Z</dcterms:modified>
</cp:coreProperties>
</file>